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Veltman Kevin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EAST MAIN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ZEELAND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49464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MILLERKNOLL,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MLKN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3"/>
        <w:gridCol w:w="900"/>
        <w:gridCol w:w="772"/>
        <w:gridCol w:w="597"/>
        <w:gridCol w:w="336"/>
        <w:gridCol w:w="1132"/>
        <w:gridCol w:w="420"/>
        <w:gridCol w:w="829"/>
        <w:gridCol w:w="1327"/>
        <w:gridCol w:w="955"/>
        <w:gridCol w:w="90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8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2,604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21,303.27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744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22,047.27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350.749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21.895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21,696.521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1,182.837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21.895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20,513.684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686.136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profit share plan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2,604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51,153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50,409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Number of Derivative Securities Beneficially Owned Following Reported Transaction reflected in Table I of this form includes dividend equivalent units reinvested in the corresponding vesting RSUs, which satisfies the exemption of Rule 16b-2.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MLKN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vest in three equal annual installments. Vesting for each tranche occurs on July 22nd of each respective year.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Jacqueline H. Rice For: Kevin J. Veltman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1228" TargetMode="External"/><Relationship Id="rId5" Type="http://schemas.openxmlformats.org/officeDocument/2006/relationships/hyperlink" Target="http://www.sec.gov/cgi-bin/browse-edgar?action=getcompany&amp;CIK=0000066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709</Words>
  <Characters>3820</Characters>
  <CharactersWithSpaces>4407</CharactersWithSpaces>
  <Paragraphs>150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