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Stutz Jeffrey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732"/>
        <w:gridCol w:w="1511"/>
        <w:gridCol w:w="946"/>
        <w:gridCol w:w="9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10,783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103,414.8538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5,232.742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98,182.1118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5,355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103,537.1118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2,334.78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101,202.3318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2,148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103,350.3318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936.528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102,413.8038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4,592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107,005.8038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2,002.112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105,003.6918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15,206.806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profit share plan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10,783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108,449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August 1, 2026 pursuant to Performance Share Units granted on October 19, 2023 under the Company's 2020 LTIP.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are subject to a three-year vest schedule, vesting 25% at year one, 25% at year two, and 50% at year three. Vesting is on August 1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Jeffrey M. Stutz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1446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762</Words>
  <Characters>4092</Characters>
  <CharactersWithSpaces>4711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