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Bruce Benedict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Creative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1132"/>
        <w:gridCol w:w="420"/>
        <w:gridCol w:w="735"/>
        <w:gridCol w:w="1421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97,276.3011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3,949.186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93,327.1151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4,041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97,368.1151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1,761.876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95,606.2391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1,621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97,227.2391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706.756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96,520.4831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3,466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99,986.4831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1,511.177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22.52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98,475.3061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2,213.837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profit share plan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56,707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Derivative Securities Beneficially Owned Following Reported Transaction reflected in Table I of this form includes dividend equivalent units reinvested in the corresponding vesting RSUs, which satisfies the exemption of Rule 16b-2.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August 1, 2026 pursuant to Performance Share Units granted on October 19, 2023 under the Company's 2020 LTIP.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are subject to a three-year vest schedule, vesting 25% at year one, 25% at year two, and 50% at year three. Vesting is on August 1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Bruce B. Watson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3708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763</Words>
  <Characters>4096</Characters>
  <CharactersWithSpaces>4716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