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Jacqueline Hourigan Rice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855 EAST MAIN AVENUE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P.O. BOX 302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ZEELAND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49464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MILLERKNOLL,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MLKN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 and Corpor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33"/>
        <w:gridCol w:w="899"/>
        <w:gridCol w:w="772"/>
        <w:gridCol w:w="597"/>
        <w:gridCol w:w="332"/>
        <w:gridCol w:w="1129"/>
        <w:gridCol w:w="410"/>
        <w:gridCol w:w="827"/>
        <w:gridCol w:w="1462"/>
        <w:gridCol w:w="943"/>
        <w:gridCol w:w="90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2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8,139</w:t>
            </w:r>
          </w:p>
        </w:tc>
        <w:tc>
          <w:tcPr>
            <w:tcW w:w="4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</w:p>
        </w:tc>
        <w:tc>
          <w:tcPr>
            <w:tcW w:w="14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62,004.0901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4,651</w:t>
            </w:r>
          </w:p>
        </w:tc>
        <w:tc>
          <w:tcPr>
            <w:tcW w:w="4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</w:p>
        </w:tc>
        <w:tc>
          <w:tcPr>
            <w:tcW w:w="14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66,655.0901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2,192.653</w:t>
            </w:r>
          </w:p>
        </w:tc>
        <w:tc>
          <w:tcPr>
            <w:tcW w:w="4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21.895</w:t>
            </w:r>
          </w:p>
        </w:tc>
        <w:tc>
          <w:tcPr>
            <w:tcW w:w="14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64,462.4371</w:t>
            </w:r>
          </w:p>
        </w:tc>
        <w:tc>
          <w:tcPr>
            <w:tcW w:w="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3,697.048</w:t>
            </w:r>
          </w:p>
        </w:tc>
        <w:tc>
          <w:tcPr>
            <w:tcW w:w="4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21.895</w:t>
            </w:r>
          </w:p>
        </w:tc>
        <w:tc>
          <w:tcPr>
            <w:tcW w:w="14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60,765.3891</w:t>
            </w:r>
          </w:p>
        </w:tc>
        <w:tc>
          <w:tcPr>
            <w:tcW w:w="9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8,139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8,139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59,177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4,651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4,651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54,526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Number of Derivative Securities Beneficially Owned Following Reported Transaction reflected in Table I of this form includes dividend equivalent units reinvested in the corresponding vesting RSUs, which satisfies the exemption of Rule 16b-2.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Number of Derivative Securities Beneficially Owned Following Reported Transaction reflected in Table I of this form includes dividend equivalent units reinvested in the corresponding vesting RSUs, which satisfies the exemption of Rule 16b-2. The directly owned common stock holdings reflected in Table I of this form include shares purchased through the MillerKnoll, Inc. Employee Stock Purchase Plan, which satisfies the exemption requirements of Rule 16b-3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restricted stock unit represents a contingent right to receive one share of MLKN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restricted stock units vest in three equal annual installments. Vesting for each tranche occurs on July 22nd of each respective year.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Jacqueline H. Rice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37150" TargetMode="External"/><Relationship Id="rId5" Type="http://schemas.openxmlformats.org/officeDocument/2006/relationships/hyperlink" Target="http://www.sec.gov/cgi-bin/browse-edgar?action=getcompany&amp;CIK=00000663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765</Words>
  <Characters>4195</Characters>
  <CharactersWithSpaces>4841</CharactersWithSpaces>
  <Paragraphs>147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