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edgardoc.xml.htm"/>
      <w:bookmarkStart w:id="1" w:name="ksedgardoc"/>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Woodbridge Robert Thomas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855 EAST MAIN AVENUE</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 BOX 302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ZEELAND</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49464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10/13/2026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MILLERKNOLL, INC.</w:t>
              </w:r>
            </w:hyperlink>
            <w:r>
              <w:rPr/>
              <w:t xml:space="preserve"> [ </w:t>
            </w:r>
            <w:r>
              <w:rPr>
                <w:rFonts w:ascii="Times;serif" w:hAnsi="Times;serif"/>
                <w:color w:val="0000FF"/>
                <w:sz w:val="24"/>
                <w:shd w:fill="FFFFFF" w:val="clear"/>
              </w:rPr>
              <w:t>MLKN</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 International Contract</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3,340.149</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34"/>
        <w:gridCol w:w="1221"/>
        <w:gridCol w:w="1120"/>
        <w:gridCol w:w="1248"/>
        <w:gridCol w:w="918"/>
        <w:gridCol w:w="1247"/>
        <w:gridCol w:w="1203"/>
        <w:gridCol w:w="1314"/>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9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4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16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9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24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1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1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Non-Qualified Stock Option (right to buy)</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07/18/2033</w:t>
            </w:r>
          </w:p>
        </w:tc>
        <w:tc>
          <w:tcPr>
            <w:tcW w:w="12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4,007</w:t>
            </w:r>
          </w:p>
        </w:tc>
        <w:tc>
          <w:tcPr>
            <w:tcW w:w="12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w:t>
            </w:r>
          </w:p>
        </w:tc>
        <w:tc>
          <w:tcPr>
            <w:tcW w:w="12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Non-Qualified Stock Option (right to buy)</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07/14/2030</w:t>
            </w:r>
          </w:p>
        </w:tc>
        <w:tc>
          <w:tcPr>
            <w:tcW w:w="12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741</w:t>
            </w:r>
          </w:p>
        </w:tc>
        <w:tc>
          <w:tcPr>
            <w:tcW w:w="12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21.38</w:t>
            </w:r>
          </w:p>
        </w:tc>
        <w:tc>
          <w:tcPr>
            <w:tcW w:w="12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Non-Qualified Stock Option (right to buy)</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07/14/2030</w:t>
            </w:r>
          </w:p>
        </w:tc>
        <w:tc>
          <w:tcPr>
            <w:tcW w:w="12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7,500</w:t>
            </w:r>
          </w:p>
        </w:tc>
        <w:tc>
          <w:tcPr>
            <w:tcW w:w="12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23.52</w:t>
            </w:r>
          </w:p>
        </w:tc>
        <w:tc>
          <w:tcPr>
            <w:tcW w:w="12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Units</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07/22/2027</w:t>
            </w:r>
            <w:r>
              <w:rPr>
                <w:rFonts w:ascii="Times;serif" w:hAnsi="Times;serif"/>
                <w:color w:val="008000"/>
                <w:position w:val="7"/>
                <w:sz w:val="16"/>
                <w:sz w:val="20"/>
                <w:shd w:fill="FFFFFF" w:val="clear"/>
              </w:rPr>
              <w:t>(2)</w:t>
            </w:r>
          </w:p>
        </w:tc>
        <w:tc>
          <w:tcPr>
            <w:tcW w:w="11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2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17,620</w:t>
            </w:r>
          </w:p>
        </w:tc>
        <w:tc>
          <w:tcPr>
            <w:tcW w:w="12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2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Currently exercisable.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377 RSUs represent the third and final tranche of his July 2024 RSU grant award. These units will vest on July 22, 2027. The original grant is scheduled to vest ratably each year in 3 equal installments over 3 years. 1,775 RSUs represent the second and third tranche of the July 2025 RSU grant award. These tranches will vest ratably each year on July 22. The original grant scheduled to vest in three equal installments over three years. 15,468 RSUs represent all three tranches from the July 2026 RSU grant award. These tranches will vest ratably each year on July 22. The original grant is scheduled to vest in three equal installments over three years.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restricted stock unit represents a contingent right to receive one share of MLKN common stock.</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Jacqueline H. Rice For: Robert T. Woodbridge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58922" TargetMode="External"/><Relationship Id="rId3" Type="http://schemas.openxmlformats.org/officeDocument/2006/relationships/hyperlink" Target="http://www.sec.gov/cgi-bin/browse-edgar?action=getcompany&amp;CIK=0000066382"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580</Words>
  <Characters>3117</Characters>
  <CharactersWithSpaces>3619</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