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September 22,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MillerKnoll,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9104" w:type="dxa"/>
        <w:jc w:val="center"/>
        <w:tblInd w:w="0" w:type="dxa"/>
        <w:tblLayout w:type="fixed"/>
        <w:tblCellMar>
          <w:top w:w="28" w:type="dxa"/>
          <w:left w:w="28" w:type="dxa"/>
          <w:bottom w:w="28" w:type="dxa"/>
          <w:right w:w="28" w:type="dxa"/>
        </w:tblCellMar>
      </w:tblPr>
      <w:tblGrid>
        <w:gridCol w:w="1560"/>
        <w:gridCol w:w="1370"/>
        <w:gridCol w:w="1390"/>
        <w:gridCol w:w="687"/>
        <w:gridCol w:w="687"/>
        <w:gridCol w:w="695"/>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Michigan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001-15141</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38-0837640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855 East Main Avenue, Zeeland, MI 49464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(616) 654-3000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417" w:before="0" w:after="2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417" w:before="0" w:after="20"/>
        <w:jc w:val="both"/>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MLKN</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22, 2026, MillerKnoll, Inc. issued a press release announcing its financial results for the quarter ended August 29, 2026. A copy of the press release is attached as Exhibit 99.1.</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Form 8-K and the attached Exhibits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hanging="144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382" w:type="dxa"/>
        <w:jc w:val="left"/>
        <w:tblInd w:w="0" w:type="dxa"/>
        <w:tblLayout w:type="fixed"/>
        <w:tblCellMar>
          <w:top w:w="28" w:type="dxa"/>
          <w:left w:w="28" w:type="dxa"/>
          <w:bottom w:w="28" w:type="dxa"/>
          <w:right w:w="28" w:type="dxa"/>
        </w:tblCellMar>
      </w:tblPr>
      <w:tblGrid>
        <w:gridCol w:w="515"/>
        <w:gridCol w:w="454"/>
        <w:gridCol w:w="456"/>
        <w:gridCol w:w="2193"/>
        <w:gridCol w:w="2193"/>
        <w:gridCol w:w="2199"/>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lkn8k_08292026ex991.htm">
              <w:r>
                <w:rPr>
                  <w:rStyle w:val="InternetLink"/>
                  <w:rFonts w:ascii="Times New Roman;serif" w:hAnsi="Times New Roman;serif"/>
                  <w:b w:val="false"/>
                  <w:color w:val="0000FF"/>
                  <w:sz w:val="20"/>
                  <w:u w:val="single"/>
                </w:rPr>
                <w:t>Press release dated September 22,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65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pPr>
      <w:r>
        <w:rPr>
          <w:rFonts w:ascii="Times New Roman;serif" w:hAnsi="Times New Roman;serif"/>
          <w:b w:val="false"/>
          <w:color w:val="000000"/>
          <w:sz w:val="20"/>
          <w:u w:val="single"/>
        </w:rPr>
        <w:t>SIGNATURE</w:t>
      </w:r>
      <w:r>
        <w:rPr>
          <w:color w:val="000000"/>
        </w:rPr>
        <w:t xml:space="preserve">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320" w:type="dxa"/>
        <w:jc w:val="center"/>
        <w:tblInd w:w="0" w:type="dxa"/>
        <w:tblLayout w:type="fixed"/>
        <w:tblCellMar>
          <w:top w:w="28" w:type="dxa"/>
          <w:left w:w="28" w:type="dxa"/>
          <w:bottom w:w="28" w:type="dxa"/>
          <w:right w:w="28" w:type="dxa"/>
        </w:tblCellMar>
      </w:tblPr>
      <w:tblGrid>
        <w:gridCol w:w="200"/>
        <w:gridCol w:w="177"/>
        <w:gridCol w:w="178"/>
        <w:gridCol w:w="574"/>
        <w:gridCol w:w="574"/>
        <w:gridCol w:w="576"/>
        <w:gridCol w:w="109"/>
        <w:gridCol w:w="109"/>
        <w:gridCol w:w="109"/>
        <w:gridCol w:w="235"/>
        <w:gridCol w:w="235"/>
        <w:gridCol w:w="235"/>
        <w:gridCol w:w="583"/>
        <w:gridCol w:w="583"/>
        <w:gridCol w:w="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6"/>
        </w:rPr>
      </w:pPr>
      <w:r>
        <w:rPr>
          <w:rFonts w:ascii="Times New Roman;serif" w:hAnsi="Times New Roman;serif"/>
          <w:b/>
          <w:color w:val="000000"/>
          <w:sz w:val="36"/>
        </w:rPr>
        <w:t>MillerKnoll, Inc. Reports First Quarter Fiscal 2027 Results</w:t>
      </w:r>
    </w:p>
    <w:p>
      <w:pPr>
        <w:pStyle w:val="TextBody"/>
        <w:bidi w:val="0"/>
        <w:spacing w:lineRule="auto" w:line="288" w:before="60" w:after="60"/>
        <w:jc w:val="left"/>
        <w:rPr>
          <w:rFonts w:ascii="Times New Roman;serif" w:hAnsi="Times New Roman;serif"/>
          <w:b w:val="false"/>
          <w:color w:val="252525"/>
          <w:sz w:val="24"/>
        </w:rPr>
      </w:pPr>
      <w:r>
        <w:rPr>
          <w:rFonts w:ascii="Times New Roman;serif" w:hAnsi="Times New Roman;serif"/>
          <w:b w:val="false"/>
          <w:color w:val="252525"/>
          <w:sz w:val="24"/>
        </w:rPr>
        <w:t xml:space="preserve">Zeeland, Mich., September 22, 2026 – MillerKnoll Inc. (NASDAQ: MLKN), a growth-oriented small-cap value company in the industrial and consumer sectors, today reported results for the first quarter of fiscal year 2027, ended August 29, 2026.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252525"/>
          <w:sz w:val="24"/>
          <w:u w:val="single"/>
        </w:rPr>
        <w:t>First Quarter Fiscal 2027 Financial Results</w:t>
      </w:r>
      <w:r>
        <w:rPr>
          <w:color w:val="252525"/>
        </w:rPr>
        <w:t xml:space="preserve"> </w:t>
      </w:r>
    </w:p>
    <w:tbl>
      <w:tblPr>
        <w:tblW w:w="10205" w:type="dxa"/>
        <w:jc w:val="left"/>
        <w:tblInd w:w="0" w:type="dxa"/>
        <w:tblLayout w:type="fixed"/>
        <w:tblCellMar>
          <w:top w:w="28" w:type="dxa"/>
          <w:left w:w="28" w:type="dxa"/>
          <w:bottom w:w="28" w:type="dxa"/>
          <w:right w:w="28" w:type="dxa"/>
        </w:tblCellMar>
      </w:tblPr>
      <w:tblGrid>
        <w:gridCol w:w="1713"/>
        <w:gridCol w:w="1504"/>
        <w:gridCol w:w="1517"/>
        <w:gridCol w:w="376"/>
        <w:gridCol w:w="1071"/>
        <w:gridCol w:w="492"/>
        <w:gridCol w:w="376"/>
        <w:gridCol w:w="1071"/>
        <w:gridCol w:w="492"/>
        <w:gridCol w:w="346"/>
        <w:gridCol w:w="349"/>
        <w:gridCol w:w="522"/>
        <w:gridCol w:w="109"/>
        <w:gridCol w:w="109"/>
        <w:gridCol w:w="158"/>
      </w:tblGrid>
      <w:tr>
        <w:trPr/>
        <w:tc>
          <w:tcPr>
            <w:tcW w:w="171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095"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73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095" w:type="dxa"/>
            <w:gridSpan w:val="9"/>
            <w:tcBorders>
              <w:right w:val="single" w:sz="8" w:space="0" w:color="000000"/>
            </w:tcBorders>
            <w:tcMar>
              <w:top w:w="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252525"/>
                <w:sz w:val="18"/>
              </w:rPr>
            </w:pPr>
            <w:r>
              <w:rPr>
                <w:rFonts w:ascii="Times New Roman;serif" w:hAnsi="Times New Roman;serif"/>
                <w:b w:val="false"/>
                <w:i/>
                <w:color w:val="252525"/>
                <w:sz w:val="18"/>
              </w:rPr>
              <w:t>(Dollars in millions, except per share data)</w:t>
            </w:r>
          </w:p>
        </w:tc>
        <w:tc>
          <w:tcPr>
            <w:tcW w:w="1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2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 Chg.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(13 weeks)</w:t>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(13 weeks)</w:t>
            </w:r>
          </w:p>
        </w:tc>
        <w:tc>
          <w:tcPr>
            <w:tcW w:w="121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37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923.4 </w:t>
            </w:r>
          </w:p>
        </w:tc>
        <w:tc>
          <w:tcPr>
            <w:tcW w:w="49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955.7 </w:t>
            </w:r>
          </w:p>
        </w:tc>
        <w:tc>
          <w:tcPr>
            <w:tcW w:w="49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(3.4)</w:t>
            </w:r>
          </w:p>
        </w:tc>
        <w:tc>
          <w:tcPr>
            <w:tcW w:w="522"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 %</w:t>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41.7 </w:t>
            </w:r>
          </w:p>
        </w:tc>
        <w:tc>
          <w:tcPr>
            <w:tcW w:w="49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38.5 </w:t>
            </w:r>
          </w:p>
        </w:tc>
        <w:tc>
          <w:tcPr>
            <w:tcW w:w="49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2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expenses</w:t>
            </w:r>
          </w:p>
        </w:tc>
        <w:tc>
          <w:tcPr>
            <w:tcW w:w="37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333.5 </w:t>
            </w:r>
          </w:p>
        </w:tc>
        <w:tc>
          <w:tcPr>
            <w:tcW w:w="49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314.6 </w:t>
            </w:r>
          </w:p>
        </w:tc>
        <w:tc>
          <w:tcPr>
            <w:tcW w:w="49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6.0 </w:t>
            </w:r>
          </w:p>
        </w:tc>
        <w:tc>
          <w:tcPr>
            <w:tcW w:w="522"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operating expenses</w:t>
            </w:r>
            <w:r>
              <w:rPr>
                <w:rFonts w:ascii="Times New Roman;serif" w:hAnsi="Times New Roman;serif"/>
                <w:b w:val="false"/>
                <w:color w:val="252525"/>
                <w:sz w:val="12"/>
              </w:rPr>
              <w:t>*</w:t>
            </w:r>
          </w:p>
        </w:tc>
        <w:tc>
          <w:tcPr>
            <w:tcW w:w="37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320.1 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308.0 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3.9 </w:t>
            </w:r>
          </w:p>
        </w:tc>
        <w:tc>
          <w:tcPr>
            <w:tcW w:w="522"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earnings %</w:t>
            </w:r>
          </w:p>
        </w:tc>
        <w:tc>
          <w:tcPr>
            <w:tcW w:w="1447"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5.6 </w:t>
            </w:r>
          </w:p>
        </w:tc>
        <w:tc>
          <w:tcPr>
            <w:tcW w:w="492"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447"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5.6 </w:t>
            </w:r>
          </w:p>
        </w:tc>
        <w:tc>
          <w:tcPr>
            <w:tcW w:w="492"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217"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operating earnings %</w:t>
            </w:r>
            <w:r>
              <w:rPr>
                <w:rFonts w:ascii="Times New Roman;serif" w:hAnsi="Times New Roman;serif"/>
                <w:b w:val="false"/>
                <w:color w:val="252525"/>
                <w:sz w:val="12"/>
              </w:rPr>
              <w:t>*</w:t>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7.1 </w:t>
            </w:r>
          </w:p>
        </w:tc>
        <w:tc>
          <w:tcPr>
            <w:tcW w:w="49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6.3 </w:t>
            </w:r>
          </w:p>
        </w:tc>
        <w:tc>
          <w:tcPr>
            <w:tcW w:w="49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21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Earnings per share - diluted</w:t>
            </w:r>
          </w:p>
        </w:tc>
        <w:tc>
          <w:tcPr>
            <w:tcW w:w="37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0.38 </w:t>
            </w:r>
          </w:p>
        </w:tc>
        <w:tc>
          <w:tcPr>
            <w:tcW w:w="49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0.29 </w:t>
            </w:r>
          </w:p>
        </w:tc>
        <w:tc>
          <w:tcPr>
            <w:tcW w:w="49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31.0 </w:t>
            </w:r>
          </w:p>
        </w:tc>
        <w:tc>
          <w:tcPr>
            <w:tcW w:w="522"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earnings per share - diluted</w:t>
            </w:r>
            <w:r>
              <w:rPr>
                <w:rFonts w:ascii="Times New Roman;serif" w:hAnsi="Times New Roman;serif"/>
                <w:b w:val="false"/>
                <w:color w:val="252525"/>
                <w:sz w:val="12"/>
              </w:rPr>
              <w:t>*</w:t>
            </w:r>
          </w:p>
        </w:tc>
        <w:tc>
          <w:tcPr>
            <w:tcW w:w="37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0.45 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17.8 </w:t>
            </w:r>
          </w:p>
        </w:tc>
        <w:tc>
          <w:tcPr>
            <w:tcW w:w="522"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0"/>
              </w:rPr>
              <w:t>*</w:t>
            </w:r>
            <w:r>
              <w:rPr>
                <w:rFonts w:ascii="Times New Roman;serif" w:hAnsi="Times New Roman;serif"/>
                <w:b w:val="false"/>
                <w:color w:val="252525"/>
                <w:sz w:val="16"/>
              </w:rPr>
              <w:t>Items indicated represent Non-GAAP measurements; see the reconciliations of Non-GAAP financial measures and related explanations below.</w:t>
            </w:r>
          </w:p>
        </w:tc>
        <w:tc>
          <w:tcPr>
            <w:tcW w:w="37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 xml:space="preserve">"We delivered strong first quarter earnings, above expectations, reflecting solid execution across the enterprise. Despite softer than expected demand patterns in the quarter, we remain confident in our earnings outlook for the second quarter and full fiscal year. We are directing our efforts toward three key areas: focused priority setting, disciplined cost management, and strengthening our balance sheet for long-term value creation. Our results this quarter reflect the early impact of this work, and we expect this progress to continue," said Jeff Stutz, Interim Chief Executive Officer.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First Quarter Tariff Refund Impact</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During the first quarter of fiscal 2027, we recognized an approximate $10 million net increase in our operating income related to refunds received from the U.S. government of previously paid IEEPA tariffs (the "</w:t>
      </w:r>
      <w:r>
        <w:rPr>
          <w:rFonts w:ascii="Times New Roman;serif" w:hAnsi="Times New Roman;serif"/>
          <w:b w:val="false"/>
          <w:i/>
          <w:color w:val="252525"/>
          <w:sz w:val="24"/>
        </w:rPr>
        <w:t>tariff refunds</w:t>
      </w:r>
      <w:r>
        <w:rPr>
          <w:rFonts w:ascii="Times New Roman;serif" w:hAnsi="Times New Roman;serif"/>
          <w:b w:val="false"/>
          <w:color w:val="252525"/>
          <w:sz w:val="24"/>
        </w:rPr>
        <w:t>"). This resulted in a net per share benefit of $0.11 to our diluted earnings per share and 110 basis points of net improvement in our operating margin in the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First Quarter</w:t>
      </w:r>
    </w:p>
    <w:p>
      <w:pPr>
        <w:pStyle w:val="TextBody"/>
        <w:bidi w:val="0"/>
        <w:spacing w:lineRule="auto" w:line="288" w:before="0" w:after="0"/>
        <w:ind w:left="0" w:right="0" w:hanging="360"/>
        <w:jc w:val="both"/>
        <w:rPr/>
      </w:pPr>
      <w:r>
        <w:rPr>
          <w:color w:val="252525"/>
        </w:rPr>
        <w:t>•</w:t>
      </w:r>
      <w:r>
        <w:rPr>
          <w:rFonts w:ascii="Times New Roman;serif" w:hAnsi="Times New Roman;serif"/>
          <w:b w:val="false"/>
          <w:color w:val="252525"/>
          <w:sz w:val="24"/>
        </w:rPr>
        <w:t>Net sales of $923.4 million, down 3.4% as reported and down 3.3% organically</w:t>
      </w:r>
      <w:r>
        <w:rPr>
          <w:rFonts w:ascii="Times New Roman;serif" w:hAnsi="Times New Roman;serif"/>
          <w:b w:val="false"/>
          <w:color w:val="252525"/>
          <w:sz w:val="16"/>
        </w:rPr>
        <w:t>*</w:t>
      </w:r>
      <w:r>
        <w:rPr>
          <w:rFonts w:ascii="Times New Roman;serif" w:hAnsi="Times New Roman;serif"/>
          <w:b w:val="false"/>
          <w:color w:val="252525"/>
          <w:sz w:val="24"/>
        </w:rPr>
        <w:t>, year-over-year</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Orders of $913.9 million, up 3.2% as reported and up 3.5% organically</w:t>
      </w:r>
      <w:r>
        <w:rPr>
          <w:rFonts w:ascii="Times New Roman;serif" w:hAnsi="Times New Roman;serif"/>
          <w:b w:val="false"/>
          <w:color w:val="252525"/>
          <w:sz w:val="16"/>
        </w:rPr>
        <w:t>*</w:t>
      </w:r>
      <w:r>
        <w:rPr>
          <w:rFonts w:ascii="Times New Roman;serif" w:hAnsi="Times New Roman;serif"/>
          <w:b w:val="false"/>
          <w:color w:val="252525"/>
          <w:sz w:val="24"/>
        </w:rPr>
        <w:t xml:space="preserve">, year-over-year </w:t>
      </w:r>
    </w:p>
    <w:p>
      <w:pPr>
        <w:pStyle w:val="TextBody"/>
        <w:bidi w:val="0"/>
        <w:spacing w:lineRule="auto" w:line="288" w:before="0" w:after="0"/>
        <w:ind w:left="0" w:right="0" w:hanging="360"/>
        <w:jc w:val="both"/>
        <w:rPr/>
      </w:pPr>
      <w:r>
        <w:rPr>
          <w:color w:val="252525"/>
        </w:rPr>
        <w:t>•</w:t>
      </w:r>
      <w:r>
        <w:rPr>
          <w:rFonts w:ascii="Times New Roman;serif" w:hAnsi="Times New Roman;serif"/>
          <w:b w:val="false"/>
          <w:color w:val="252525"/>
          <w:sz w:val="24"/>
        </w:rPr>
        <w:t>Gross margin increased 320 basis points and adjusted gross margin</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increased 330</w:t>
      </w:r>
      <w:r>
        <w:rPr>
          <w:color w:val="000000"/>
        </w:rPr>
        <w:t xml:space="preserve"> </w:t>
      </w:r>
      <w:r>
        <w:rPr>
          <w:rFonts w:ascii="Times New Roman;serif" w:hAnsi="Times New Roman;serif"/>
          <w:b w:val="false"/>
          <w:color w:val="252525"/>
          <w:sz w:val="24"/>
        </w:rPr>
        <w:t>basis points, primarily from the tariff refunds</w:t>
      </w:r>
      <w:r>
        <w:rPr>
          <w:color w:val="252525"/>
        </w:rPr>
        <w:t xml:space="preserve"> </w:t>
      </w:r>
      <w:r>
        <w:rPr>
          <w:rFonts w:ascii="Times New Roman;serif" w:hAnsi="Times New Roman;serif"/>
          <w:b w:val="false"/>
          <w:color w:val="252525"/>
          <w:sz w:val="24"/>
        </w:rPr>
        <w:t xml:space="preserve">and price realization, partially offset by inflationary cost pressure </w:t>
      </w:r>
    </w:p>
    <w:p>
      <w:pPr>
        <w:pStyle w:val="TextBody"/>
        <w:bidi w:val="0"/>
        <w:spacing w:lineRule="auto" w:line="288" w:before="0" w:after="0"/>
        <w:ind w:left="0" w:right="0" w:hanging="360"/>
        <w:jc w:val="both"/>
        <w:rPr/>
      </w:pPr>
      <w:r>
        <w:rPr>
          <w:color w:val="252525"/>
        </w:rPr>
        <w:t>•</w:t>
      </w:r>
      <w:r>
        <w:rPr>
          <w:rFonts w:ascii="Times New Roman;serif" w:hAnsi="Times New Roman;serif"/>
          <w:b w:val="false"/>
          <w:color w:val="252525"/>
          <w:sz w:val="24"/>
        </w:rPr>
        <w:t>Operating expenses increased to $333.5 million, and adjusted operating expenses</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 xml:space="preserve">increased to $320.1 million, driven primarily by higher compensation expense, including variable incentive compensation, and higher new store expense, partially offset by improved cost management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Operating expense special charges of $13.4 million: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$6.0 million of restructuring charges related to targeted workforce reductions and facility consolidations</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$5.7 million of purchase accounting amortization</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$1.7 million of CEO transition costs</w:t>
      </w:r>
    </w:p>
    <w:p>
      <w:pPr>
        <w:pStyle w:val="TextBody"/>
        <w:bidi w:val="0"/>
        <w:spacing w:lineRule="auto" w:line="288"/>
        <w:ind w:left="0" w:right="0" w:hanging="360"/>
        <w:jc w:val="left"/>
        <w:rPr/>
      </w:pPr>
      <w:r>
        <w:rPr>
          <w:color w:val="252525"/>
        </w:rPr>
        <w:t>•</w:t>
      </w:r>
      <w:r>
        <w:rPr>
          <w:rFonts w:ascii="Times New Roman;serif" w:hAnsi="Times New Roman;serif"/>
          <w:b w:val="false"/>
          <w:color w:val="252525"/>
          <w:sz w:val="24"/>
        </w:rPr>
        <w:t>Operating margin of 5.6%, compared to 5.6% in the prior year, and adjusted operating margin</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of 7.1%, compared to 6.3% in the prior year, included 110 basis points in net tariff refunds benefit</w:t>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Diluted earnings per share of $0.38, compared to $0.29 in the prior year, and adjusted diluted earnings per share</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of $0.53, compared to $0.45 in the prior year, included the $0.11 per share net benefit from tariff refunds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First Quarter 2027 Cash Flow, Debt, and Liquidity</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Liquidity, as of August 29, 2026, of $580.4 million reflected cash on hand and revolving credit facility availability</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Cash flow from operations of $49.1 million, compared to $9.4 million in the prior year</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Net debt-to-EBITDA ratio, as defined by our credit facility, of 2.75x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Near term scheduled debt maturities: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$22.0 million in fiscal 2027</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$25.8 million in fiscal 2028</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$89.8 million in fiscal 2029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Dividend</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On July 14, 2026, MillerKnoll's Board of Directors declared a quarterly cash dividend of $0.1875 per share. The dividend is payable on October 15, 2026, to shareholders of record on August 29,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First Quarter Fiscal 2027 Results by Segment</w:t>
      </w:r>
    </w:p>
    <w:p>
      <w:pPr>
        <w:pStyle w:val="TextBody"/>
        <w:bidi w:val="0"/>
        <w:spacing w:lineRule="auto" w:line="288" w:before="60" w:after="60"/>
        <w:jc w:val="both"/>
        <w:rPr>
          <w:rFonts w:ascii="Times New Roman;serif" w:hAnsi="Times New Roman;serif"/>
          <w:b w:val="false"/>
          <w:i/>
          <w:color w:val="252525"/>
          <w:sz w:val="24"/>
        </w:rPr>
      </w:pPr>
      <w:r>
        <w:rPr>
          <w:rFonts w:ascii="Times New Roman;serif" w:hAnsi="Times New Roman;serif"/>
          <w:b w:val="false"/>
          <w:i/>
          <w:color w:val="252525"/>
          <w:sz w:val="24"/>
        </w:rPr>
        <w:t xml:space="preserve">North America Contract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Net sales of $505.6 million, down 5.3% as reported and down 5.2% organically</w:t>
      </w:r>
      <w:r>
        <w:rPr>
          <w:rFonts w:ascii="Times New Roman;serif" w:hAnsi="Times New Roman;serif"/>
          <w:b w:val="false"/>
          <w:color w:val="252525"/>
          <w:sz w:val="16"/>
        </w:rPr>
        <w:t>*</w:t>
      </w:r>
      <w:r>
        <w:rPr>
          <w:rFonts w:ascii="Times New Roman;serif" w:hAnsi="Times New Roman;serif"/>
          <w:b w:val="false"/>
          <w:color w:val="252525"/>
          <w:sz w:val="24"/>
        </w:rPr>
        <w:t>, year-over-year</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Orders of $483.7 million, down 1.7% as reported and down 1.6% organically</w:t>
      </w:r>
      <w:r>
        <w:rPr>
          <w:rFonts w:ascii="Times New Roman;serif" w:hAnsi="Times New Roman;serif"/>
          <w:b w:val="false"/>
          <w:color w:val="252525"/>
          <w:sz w:val="16"/>
        </w:rPr>
        <w:t>*</w:t>
      </w:r>
      <w:r>
        <w:rPr>
          <w:rFonts w:ascii="Times New Roman;serif" w:hAnsi="Times New Roman;serif"/>
          <w:b w:val="false"/>
          <w:color w:val="252525"/>
          <w:sz w:val="24"/>
        </w:rPr>
        <w:t xml:space="preserve">, year-over-year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Operating margin of 9.4% compared to 10.7% in the prior 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Adjusted operating margin</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of 10.7%, down 70 basis points compared to prior year, primarily from deleverage on lower sales and inflationary cost pressure, partially offset by pricing realization and a benefit from tariff refunds</w:t>
      </w:r>
    </w:p>
    <w:p>
      <w:pPr>
        <w:pStyle w:val="TextBody"/>
        <w:bidi w:val="0"/>
        <w:spacing w:before="0" w:after="0"/>
        <w:jc w:val="both"/>
        <w:rPr/>
      </w:pPr>
      <w:r>
        <w:rPr/>
      </w:r>
    </w:p>
    <w:p>
      <w:pPr>
        <w:pStyle w:val="TextBody"/>
        <w:bidi w:val="0"/>
        <w:spacing w:lineRule="auto" w:line="288" w:before="60" w:after="60"/>
        <w:jc w:val="both"/>
        <w:rPr/>
      </w:pPr>
      <w:r>
        <w:rPr>
          <w:rFonts w:ascii="Times New Roman;serif" w:hAnsi="Times New Roman;serif"/>
          <w:b w:val="false"/>
          <w:i/>
          <w:color w:val="252525"/>
          <w:sz w:val="24"/>
        </w:rPr>
        <w:t>International Contract</w:t>
      </w:r>
      <w:r>
        <w:rPr>
          <w:color w:val="252525"/>
        </w:rPr>
        <w:t xml:space="preserve">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Net sales of $156.8 million, down 6.4% as reported and down 6.2% organically</w:t>
      </w:r>
      <w:r>
        <w:rPr>
          <w:rFonts w:ascii="Times New Roman;serif" w:hAnsi="Times New Roman;serif"/>
          <w:b w:val="false"/>
          <w:color w:val="252525"/>
          <w:sz w:val="16"/>
        </w:rPr>
        <w:t>*</w:t>
      </w:r>
      <w:r>
        <w:rPr>
          <w:rFonts w:ascii="Times New Roman;serif" w:hAnsi="Times New Roman;serif"/>
          <w:b w:val="false"/>
          <w:color w:val="252525"/>
          <w:sz w:val="24"/>
        </w:rPr>
        <w:t xml:space="preserve">, year-over-year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Orders of $181.2 million, up 17.3% as reported and up 17.9% organically</w:t>
      </w:r>
      <w:r>
        <w:rPr>
          <w:rFonts w:ascii="Times New Roman;serif" w:hAnsi="Times New Roman;serif"/>
          <w:b w:val="false"/>
          <w:color w:val="252525"/>
          <w:sz w:val="16"/>
        </w:rPr>
        <w:t>*</w:t>
      </w:r>
      <w:r>
        <w:rPr>
          <w:rFonts w:ascii="Times New Roman;serif" w:hAnsi="Times New Roman;serif"/>
          <w:b w:val="false"/>
          <w:color w:val="252525"/>
          <w:sz w:val="24"/>
        </w:rPr>
        <w:t xml:space="preserve">, year-over-year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Operating margin of 2.4% compared to 8.1% in the prior 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Adjusted operating margin</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of 4.6%, down 390 basis points year-over-year, primarily from deleverage on lower sales, showroom investments, timing of sales events and higher incentive compensation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252525"/>
          <w:sz w:val="24"/>
        </w:rPr>
      </w:pPr>
      <w:r>
        <w:rPr>
          <w:rFonts w:ascii="Times New Roman;serif" w:hAnsi="Times New Roman;serif"/>
          <w:b w:val="false"/>
          <w:i/>
          <w:color w:val="252525"/>
          <w:sz w:val="24"/>
        </w:rPr>
        <w:t>Global Retail</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Net sales of $261.0 million, up 2.6% as reported and up 2.8% organically</w:t>
      </w:r>
      <w:r>
        <w:rPr>
          <w:rFonts w:ascii="Times New Roman;serif" w:hAnsi="Times New Roman;serif"/>
          <w:b w:val="false"/>
          <w:color w:val="252525"/>
          <w:sz w:val="16"/>
        </w:rPr>
        <w:t>*</w:t>
      </w:r>
      <w:r>
        <w:rPr>
          <w:rFonts w:ascii="Times New Roman;serif" w:hAnsi="Times New Roman;serif"/>
          <w:b w:val="false"/>
          <w:color w:val="252525"/>
          <w:sz w:val="24"/>
        </w:rPr>
        <w:t>, year-over-year</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Orders of $249.0 million, up 4.3% as reported and up 4.7% organically</w:t>
      </w:r>
      <w:r>
        <w:rPr>
          <w:rFonts w:ascii="Times New Roman;serif" w:hAnsi="Times New Roman;serif"/>
          <w:b w:val="false"/>
          <w:color w:val="252525"/>
          <w:sz w:val="16"/>
        </w:rPr>
        <w:t>*</w:t>
      </w:r>
      <w:r>
        <w:rPr>
          <w:rFonts w:ascii="Times New Roman;serif" w:hAnsi="Times New Roman;serif"/>
          <w:b w:val="false"/>
          <w:color w:val="252525"/>
          <w:sz w:val="24"/>
        </w:rPr>
        <w:t>, year-over-year</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Orders were up 7.5% in the North America region, year-over-year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Operating margin of 6.1% compared to 0.6% in the prior year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Adjusted operating margin</w:t>
      </w:r>
      <w:r>
        <w:rPr>
          <w:rFonts w:ascii="Times New Roman;serif" w:hAnsi="Times New Roman;serif"/>
          <w:b w:val="false"/>
          <w:color w:val="252525"/>
          <w:sz w:val="16"/>
        </w:rPr>
        <w:t>*</w:t>
      </w:r>
      <w:r>
        <w:rPr>
          <w:color w:val="252525"/>
        </w:rPr>
        <w:t xml:space="preserve"> </w:t>
      </w:r>
      <w:r>
        <w:rPr>
          <w:rFonts w:ascii="Times New Roman;serif" w:hAnsi="Times New Roman;serif"/>
          <w:b w:val="false"/>
          <w:color w:val="252525"/>
          <w:sz w:val="24"/>
        </w:rPr>
        <w:t>of 7.0%, up 580 basis points year-over-year, primarily from a 410 basis point net tariff refunds-related benefit, along with pricing realization and cost savings, partially offset by the impact from opening new stores</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New retail store openings in Q1: DWR store in Raleigh, NC, and Herman Miller stores in Columbus, OH, St. Louis, MO and San Antonio, TX</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252525"/>
          <w:sz w:val="24"/>
          <w:u w:val="single"/>
        </w:rPr>
      </w:pPr>
      <w:r>
        <w:rPr>
          <w:rFonts w:ascii="Times New Roman;serif" w:hAnsi="Times New Roman;serif"/>
          <w:b/>
          <w:color w:val="252525"/>
          <w:sz w:val="24"/>
          <w:u w:val="single"/>
        </w:rPr>
        <w:t>Second Quarter Outlook</w:t>
      </w:r>
    </w:p>
    <w:p>
      <w:pPr>
        <w:pStyle w:val="TextBody"/>
        <w:bidi w:val="0"/>
        <w:spacing w:lineRule="auto" w:line="288" w:before="60" w:after="60"/>
        <w:jc w:val="left"/>
        <w:rPr>
          <w:rFonts w:ascii="Times New Roman;serif" w:hAnsi="Times New Roman;serif"/>
          <w:b w:val="false"/>
          <w:color w:val="252525"/>
          <w:sz w:val="24"/>
        </w:rPr>
      </w:pPr>
      <w:r>
        <w:rPr>
          <w:rFonts w:ascii="Times New Roman;serif" w:hAnsi="Times New Roman;serif"/>
          <w:b w:val="false"/>
          <w:color w:val="252525"/>
          <w:sz w:val="24"/>
        </w:rPr>
        <w:t>The table below presents our selected expectations for the second quarter and full fiscal year 2027 financial operating results:</w:t>
      </w:r>
    </w:p>
    <w:tbl>
      <w:tblPr>
        <w:tblW w:w="5162" w:type="dxa"/>
        <w:jc w:val="left"/>
        <w:tblInd w:w="0" w:type="dxa"/>
        <w:tblLayout w:type="fixed"/>
        <w:tblCellMar>
          <w:top w:w="28" w:type="dxa"/>
          <w:left w:w="28" w:type="dxa"/>
          <w:bottom w:w="28" w:type="dxa"/>
          <w:right w:w="28" w:type="dxa"/>
        </w:tblCellMar>
      </w:tblPr>
      <w:tblGrid>
        <w:gridCol w:w="1005"/>
        <w:gridCol w:w="886"/>
        <w:gridCol w:w="898"/>
        <w:gridCol w:w="738"/>
        <w:gridCol w:w="738"/>
        <w:gridCol w:w="743"/>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Q2 FY2027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2219" w:type="dxa"/>
            <w:gridSpan w:val="3"/>
            <w:tcBorders>
              <w:top w:val="single" w:sz="8" w:space="0" w:color="000000"/>
              <w:left w:val="single" w:sz="8" w:space="0" w:color="000000"/>
              <w:right w:val="single" w:sz="8" w:space="0" w:color="000000"/>
            </w:tcBorders>
            <w:shd w:fill="D1DBE0" w:val="clear"/>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$972 million to $1.012 billion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 %</w:t>
            </w:r>
          </w:p>
        </w:tc>
        <w:tc>
          <w:tcPr>
            <w:tcW w:w="221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38.3% to 39.3%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1DBE0"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operating expenses</w:t>
            </w:r>
            <w:r>
              <w:rPr>
                <w:rFonts w:ascii="Times New Roman;serif" w:hAnsi="Times New Roman;serif"/>
                <w:b w:val="false"/>
                <w:color w:val="252525"/>
                <w:sz w:val="12"/>
              </w:rPr>
              <w:t>*</w:t>
            </w:r>
          </w:p>
        </w:tc>
        <w:tc>
          <w:tcPr>
            <w:tcW w:w="2219"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$321 million to $331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Interest and other expense, net</w:t>
            </w:r>
          </w:p>
        </w:tc>
        <w:tc>
          <w:tcPr>
            <w:tcW w:w="221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$15.8 million to $16.8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1DBE0"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effective tax rate</w:t>
            </w:r>
            <w:r>
              <w:rPr>
                <w:rFonts w:ascii="Times New Roman;serif" w:hAnsi="Times New Roman;serif"/>
                <w:b w:val="false"/>
                <w:color w:val="252525"/>
                <w:sz w:val="12"/>
              </w:rPr>
              <w:t>*</w:t>
            </w:r>
          </w:p>
        </w:tc>
        <w:tc>
          <w:tcPr>
            <w:tcW w:w="2219"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21% to 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earnings per share - diluted</w:t>
            </w:r>
            <w:r>
              <w:rPr>
                <w:rFonts w:ascii="Times New Roman;serif" w:hAnsi="Times New Roman;serif"/>
                <w:b w:val="false"/>
                <w:color w:val="252525"/>
                <w:sz w:val="12"/>
              </w:rPr>
              <w:t>*</w:t>
            </w:r>
          </w:p>
        </w:tc>
        <w:tc>
          <w:tcPr>
            <w:tcW w:w="2219"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$0.43 to $0.49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73" w:type="dxa"/>
            <w:gridSpan w:val="4"/>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7"/>
        <w:gridCol w:w="1221"/>
        <w:gridCol w:w="1241"/>
        <w:gridCol w:w="1032"/>
        <w:gridCol w:w="1032"/>
        <w:gridCol w:w="1036"/>
        <w:gridCol w:w="1020"/>
        <w:gridCol w:w="1020"/>
        <w:gridCol w:w="1058"/>
        <w:gridCol w:w="158"/>
      </w:tblGrid>
      <w:tr>
        <w:trPr/>
        <w:tc>
          <w:tcPr>
            <w:tcW w:w="138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198" w:type="dxa"/>
            <w:gridSpan w:val="6"/>
            <w:tcBorders>
              <w:right w:val="single" w:sz="8" w:space="0" w:color="000000"/>
            </w:tcBorders>
            <w:tcMar>
              <w:top w:w="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Full Year FY2027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Current Guidance</w:t>
            </w:r>
          </w:p>
        </w:tc>
        <w:tc>
          <w:tcPr>
            <w:tcW w:w="30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Previous Guidance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31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$3.88 billion to $4.03 billion</w:t>
            </w:r>
          </w:p>
        </w:tc>
        <w:tc>
          <w:tcPr>
            <w:tcW w:w="309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$3.93 billion to $4.13 billion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bottom w:val="single" w:sz="8" w:space="0" w:color="000000"/>
            </w:tcBorders>
            <w:shd w:fill="D1DBE0" w:val="clear"/>
            <w:tcMar>
              <w:top w:w="0" w:type="dxa"/>
              <w:left w:w="0" w:type="dxa"/>
              <w:bottom w:w="3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Adjusted earnings per share - diluted</w:t>
            </w:r>
            <w:r>
              <w:rPr>
                <w:rFonts w:ascii="Times New Roman;serif" w:hAnsi="Times New Roman;serif"/>
                <w:b w:val="false"/>
                <w:color w:val="252525"/>
                <w:sz w:val="12"/>
              </w:rPr>
              <w:t>*</w:t>
            </w:r>
          </w:p>
        </w:tc>
        <w:tc>
          <w:tcPr>
            <w:tcW w:w="3100" w:type="dxa"/>
            <w:gridSpan w:val="3"/>
            <w:tcBorders>
              <w:left w:val="single" w:sz="8" w:space="0" w:color="000000"/>
              <w:bottom w:val="single" w:sz="8" w:space="0" w:color="000000"/>
            </w:tcBorders>
            <w:shd w:fill="D1DBE0" w:val="clear"/>
            <w:tcMar>
              <w:top w:w="0"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$1.85 to $2.15</w:t>
            </w:r>
          </w:p>
        </w:tc>
        <w:tc>
          <w:tcPr>
            <w:tcW w:w="3098" w:type="dxa"/>
            <w:gridSpan w:val="3"/>
            <w:tcBorders>
              <w:left w:val="single" w:sz="8" w:space="0" w:color="000000"/>
              <w:bottom w:val="single" w:sz="8" w:space="0" w:color="000000"/>
              <w:right w:val="single" w:sz="8" w:space="0" w:color="000000"/>
            </w:tcBorders>
            <w:shd w:fill="D1DBE0" w:val="clear"/>
            <w:tcMar>
              <w:top w:w="0" w:type="dxa"/>
              <w:bottom w:w="3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$1.85 to $2.15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2"/>
              </w:rPr>
              <w:t>*</w:t>
            </w:r>
            <w:r>
              <w:rPr>
                <w:rFonts w:ascii="Times New Roman;serif" w:hAnsi="Times New Roman;serif"/>
                <w:b w:val="false"/>
                <w:color w:val="252525"/>
                <w:sz w:val="18"/>
              </w:rPr>
              <w:t>Items indicated represent Non-GAAP measures. The Q2 FY2027 outlook excludes an expected $5.7 million in operating expense charges related to amortization of Knoll purchased intangibles and the related tax and earnings per share impact. The Company has not reconciled forward-looking non-GAAP measures because certain items that impact such measures are outside of the Company’s control and/or cannot be reasonably predicted. These items are uncertain, depend on various factors, and could have a material impact on GAAP results for the guidance period. See "Non-GAAP Financial Measures and Other Supplemental Data."</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252525"/>
          <w:sz w:val="24"/>
        </w:rPr>
      </w:pPr>
      <w:r>
        <w:rPr>
          <w:rFonts w:ascii="Times New Roman;serif" w:hAnsi="Times New Roman;serif"/>
          <w:b w:val="false"/>
          <w:color w:val="252525"/>
          <w:sz w:val="24"/>
        </w:rPr>
        <w:t>The full year outlook also includes the following additional estimated full year expectations:</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Estimated $0.07 per share unfavorable impact from Canada-related tariff costs over the next three quarters, as well as the $0.11 per share net benefit from tariff refunds in the first quarter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 xml:space="preserve">Opening 14 to 18 new retail stores, including 5 to 7 new store openings in Q2 </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Effective tax rate of approximately 21.0% to 23.0%</w:t>
      </w:r>
    </w:p>
    <w:p>
      <w:pPr>
        <w:pStyle w:val="TextBody"/>
        <w:bidi w:val="0"/>
        <w:spacing w:lineRule="auto" w:line="288" w:before="0" w:after="0"/>
        <w:ind w:left="0" w:right="0" w:hanging="360"/>
        <w:jc w:val="left"/>
        <w:rPr/>
      </w:pPr>
      <w:r>
        <w:rPr>
          <w:color w:val="252525"/>
        </w:rPr>
        <w:t>•</w:t>
      </w:r>
      <w:r>
        <w:rPr>
          <w:rFonts w:ascii="Times New Roman;serif" w:hAnsi="Times New Roman;serif"/>
          <w:b w:val="false"/>
          <w:color w:val="252525"/>
          <w:sz w:val="24"/>
        </w:rPr>
        <w:t>Capital expenditures of approximately $125 million to $135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60"/>
        <w:jc w:val="left"/>
        <w:rPr>
          <w:rFonts w:ascii="Times New Roman;serif" w:hAnsi="Times New Roman;serif"/>
          <w:b/>
          <w:color w:val="252525"/>
          <w:sz w:val="20"/>
        </w:rPr>
      </w:pPr>
      <w:r>
        <w:rPr>
          <w:rFonts w:ascii="Times New Roman;serif" w:hAnsi="Times New Roman;serif"/>
          <w:b/>
          <w:color w:val="252525"/>
          <w:sz w:val="20"/>
        </w:rPr>
        <w:t>Webcast and Conference Call Information</w:t>
      </w:r>
    </w:p>
    <w:p>
      <w:pPr>
        <w:pStyle w:val="TextBody"/>
        <w:bidi w:val="0"/>
        <w:spacing w:lineRule="auto" w:line="31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host a conference call and webcast to discuss the results of the first quarter of fiscal 2027 on Tuesday, September 22, 2026, at 8:30 AM ET. To ensure participation, allow extra time to visit the Company’s website at https://www.millerknoll.com/investor-relations/news-events/events-and-presentations to download the streaming software necessary to participate. An online archive of the webcast will also be available on the Company's investor relations website. Additional links to materials supporting the release will be available at https://www.millerknoll.com/investor-relations.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color w:val="000000"/>
          <w:sz w:val="20"/>
        </w:rPr>
      </w:pPr>
      <w:r>
        <w:rPr>
          <w:rFonts w:ascii="Times New Roman;serif" w:hAnsi="Times New Roman;serif"/>
          <w:b w:val="false"/>
          <w:color w:val="000000"/>
          <w:sz w:val="20"/>
        </w:rPr>
        <w:t>Financial highlights for the three months ended August 29, 2026 follow: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MillerKnoll, Inc.</w:t>
      </w:r>
    </w:p>
    <w:p>
      <w:pPr>
        <w:pStyle w:val="TextBody"/>
        <w:bidi w:val="0"/>
        <w:spacing w:lineRule="auto" w:line="288" w:before="0" w:after="180"/>
        <w:jc w:val="left"/>
        <w:rPr>
          <w:rFonts w:ascii="Times New Roman;serif" w:hAnsi="Times New Roman;serif"/>
          <w:b/>
          <w:color w:val="252525"/>
          <w:sz w:val="32"/>
        </w:rPr>
      </w:pPr>
      <w:r>
        <w:rPr>
          <w:rFonts w:ascii="Times New Roman;serif" w:hAnsi="Times New Roman;serif"/>
          <w:b/>
          <w:color w:val="252525"/>
          <w:sz w:val="32"/>
        </w:rPr>
        <w:t>Condensed Consolidated Statements of Operations</w:t>
      </w:r>
    </w:p>
    <w:tbl>
      <w:tblPr>
        <w:tblW w:w="9981" w:type="dxa"/>
        <w:jc w:val="left"/>
        <w:tblInd w:w="0" w:type="dxa"/>
        <w:tblLayout w:type="fixed"/>
        <w:tblCellMar>
          <w:top w:w="28" w:type="dxa"/>
          <w:left w:w="28" w:type="dxa"/>
          <w:bottom w:w="28" w:type="dxa"/>
          <w:right w:w="28" w:type="dxa"/>
        </w:tblCellMar>
      </w:tblPr>
      <w:tblGrid>
        <w:gridCol w:w="2010"/>
        <w:gridCol w:w="1764"/>
        <w:gridCol w:w="1775"/>
        <w:gridCol w:w="196"/>
        <w:gridCol w:w="556"/>
        <w:gridCol w:w="109"/>
        <w:gridCol w:w="278"/>
        <w:gridCol w:w="278"/>
        <w:gridCol w:w="286"/>
        <w:gridCol w:w="109"/>
        <w:gridCol w:w="109"/>
        <w:gridCol w:w="109"/>
        <w:gridCol w:w="196"/>
        <w:gridCol w:w="556"/>
        <w:gridCol w:w="109"/>
        <w:gridCol w:w="278"/>
        <w:gridCol w:w="278"/>
        <w:gridCol w:w="286"/>
        <w:gridCol w:w="109"/>
        <w:gridCol w:w="109"/>
        <w:gridCol w:w="109"/>
        <w:gridCol w:w="109"/>
        <w:gridCol w:w="109"/>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252525"/>
                <w:sz w:val="18"/>
              </w:rPr>
            </w:pPr>
            <w:r>
              <w:rPr>
                <w:rFonts w:ascii="Times New Roman;serif" w:hAnsi="Times New Roman;serif"/>
                <w:b w:val="false"/>
                <w:i/>
                <w:color w:val="252525"/>
                <w:sz w:val="18"/>
              </w:rPr>
              <w:t>(Unaudited) (Dollars in millions, except per share and common share data)</w:t>
            </w:r>
          </w:p>
        </w:tc>
        <w:tc>
          <w:tcPr>
            <w:tcW w:w="37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49" w:type="dxa"/>
            <w:gridSpan w:val="3"/>
            <w:vMerge w:val="continue"/>
            <w:tcBorders/>
            <w:tcMar>
              <w:top w:w="0" w:type="dxa"/>
              <w:left w:w="0" w:type="dxa"/>
              <w:bottom w:w="0" w:type="dxa"/>
              <w:right w:w="0" w:type="dxa"/>
            </w:tcMar>
            <w:vAlign w:val="center"/>
          </w:tcPr>
          <w:p>
            <w:pPr>
              <w:pStyle w:val="Normal"/>
              <w:bidi w:val="0"/>
              <w:jc w:val="left"/>
              <w:rPr/>
            </w:pPr>
            <w:r>
              <w:rPr/>
            </w:r>
          </w:p>
        </w:tc>
        <w:tc>
          <w:tcPr>
            <w:tcW w:w="17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923.4 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955.7 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58.3 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61.5 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385.3 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41.7 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368.1 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36.1 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32.9 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earnings</w:t>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51.8 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5.6 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53.5 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5.6 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Other expenses,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Earnings before income taxes</w:t>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35.2 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28.7 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3.0 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Income tax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Net earnings</w:t>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27.6</w:t>
            </w:r>
            <w:r>
              <w:rPr>
                <w:color w:val="252525"/>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3.0</w:t>
            </w:r>
            <w:r>
              <w:rPr>
                <w:color w:val="252525"/>
              </w:rPr>
              <w:t>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3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21.1</w:t>
            </w:r>
            <w:r>
              <w:rPr>
                <w:color w:val="252525"/>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2.2</w:t>
            </w:r>
            <w:r>
              <w:rPr>
                <w:color w:val="252525"/>
              </w:rPr>
              <w:t>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earnings attributable to redeemable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Net earnings attributable to MillerKnoll, Inc.</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26.6</w:t>
            </w:r>
            <w:r>
              <w:rPr>
                <w:color w:val="252525"/>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2.9</w:t>
            </w:r>
            <w:r>
              <w:rPr>
                <w:color w:val="252525"/>
              </w:rPr>
              <w:t>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20.2</w:t>
            </w:r>
            <w:r>
              <w:rPr>
                <w:color w:val="252525"/>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2.1</w:t>
            </w:r>
            <w:r>
              <w:rPr>
                <w:color w:val="252525"/>
              </w:rPr>
              <w:t>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82" w:type="dxa"/>
            <w:gridSpan w:val="18"/>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Amounts per common share attributable to MillerKnoll, Inc.</w:t>
            </w:r>
          </w:p>
        </w:tc>
        <w:tc>
          <w:tcPr>
            <w:tcW w:w="699" w:type="dxa"/>
            <w:gridSpan w:val="6"/>
            <w:tcBorders/>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Earnings per share - basic</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Weighted average basic common shares</w:t>
            </w:r>
          </w:p>
        </w:tc>
        <w:tc>
          <w:tcPr>
            <w:tcW w:w="1703" w:type="dxa"/>
            <w:gridSpan w:val="6"/>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69,288,857</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68,519,141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Earnings per share - diluted</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4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Weighted average diluted common shares</w:t>
            </w:r>
          </w:p>
        </w:tc>
        <w:tc>
          <w:tcPr>
            <w:tcW w:w="1703" w:type="dxa"/>
            <w:gridSpan w:val="6"/>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70,040,606</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69,194,506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28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36"/>
        </w:rPr>
      </w:pPr>
      <w:r>
        <w:rPr>
          <w:rFonts w:ascii="Times New Roman;serif" w:hAnsi="Times New Roman;serif"/>
          <w:b/>
          <w:color w:val="000000"/>
          <w:sz w:val="36"/>
        </w:rPr>
        <w:t>MillerKnoll, Inc.</w:t>
      </w:r>
    </w:p>
    <w:p>
      <w:pPr>
        <w:pStyle w:val="TextBody"/>
        <w:bidi w:val="0"/>
        <w:spacing w:lineRule="auto" w:line="288" w:before="0" w:after="180"/>
        <w:jc w:val="left"/>
        <w:rPr>
          <w:rFonts w:ascii="Times New Roman;serif" w:hAnsi="Times New Roman;serif"/>
          <w:b/>
          <w:color w:val="252525"/>
          <w:sz w:val="32"/>
        </w:rPr>
      </w:pPr>
      <w:r>
        <w:rPr>
          <w:rFonts w:ascii="Times New Roman;serif" w:hAnsi="Times New Roman;serif"/>
          <w:b/>
          <w:color w:val="252525"/>
          <w:sz w:val="32"/>
        </w:rPr>
        <w:t>Condensed Consolidated Statements of Cash Flows</w:t>
      </w:r>
    </w:p>
    <w:tbl>
      <w:tblPr>
        <w:tblW w:w="7256" w:type="dxa"/>
        <w:jc w:val="left"/>
        <w:tblInd w:w="0" w:type="dxa"/>
        <w:tblLayout w:type="fixed"/>
        <w:tblCellMar>
          <w:top w:w="28" w:type="dxa"/>
          <w:left w:w="28" w:type="dxa"/>
          <w:bottom w:w="28" w:type="dxa"/>
          <w:right w:w="28" w:type="dxa"/>
        </w:tblCellMar>
      </w:tblPr>
      <w:tblGrid>
        <w:gridCol w:w="1440"/>
        <w:gridCol w:w="1263"/>
        <w:gridCol w:w="1272"/>
        <w:gridCol w:w="323"/>
        <w:gridCol w:w="966"/>
        <w:gridCol w:w="166"/>
        <w:gridCol w:w="109"/>
        <w:gridCol w:w="109"/>
        <w:gridCol w:w="109"/>
        <w:gridCol w:w="317"/>
        <w:gridCol w:w="950"/>
        <w:gridCol w:w="232"/>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52525"/>
                <w:sz w:val="20"/>
              </w:rPr>
            </w:pPr>
            <w:r>
              <w:rPr>
                <w:rFonts w:ascii="Times New Roman;serif" w:hAnsi="Times New Roman;serif"/>
                <w:b w:val="false"/>
                <w:color w:val="252525"/>
                <w:sz w:val="20"/>
              </w:rPr>
              <w:t>Three Months Ended</w:t>
            </w:r>
          </w:p>
        </w:tc>
      </w:tr>
      <w:tr>
        <w:trPr/>
        <w:tc>
          <w:tcPr>
            <w:tcW w:w="39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252525"/>
                <w:sz w:val="18"/>
              </w:rPr>
            </w:pPr>
            <w:r>
              <w:rPr>
                <w:rFonts w:ascii="Times New Roman;serif" w:hAnsi="Times New Roman;serif"/>
                <w:b w:val="false"/>
                <w:i/>
                <w:color w:val="252525"/>
                <w:sz w:val="18"/>
              </w:rPr>
              <w:t>(Unaudited) (Dollars in millions)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52525"/>
                <w:sz w:val="20"/>
              </w:rPr>
            </w:pPr>
            <w:r>
              <w:rPr>
                <w:rFonts w:ascii="Times New Roman;serif" w:hAnsi="Times New Roman;serif"/>
                <w:b w:val="false"/>
                <w:color w:val="252525"/>
                <w:sz w:val="20"/>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52525"/>
                <w:sz w:val="20"/>
              </w:rPr>
            </w:pPr>
            <w:r>
              <w:rPr>
                <w:rFonts w:ascii="Times New Roman;serif" w:hAnsi="Times New Roman;serif"/>
                <w:b w:val="false"/>
                <w:color w:val="252525"/>
                <w:sz w:val="20"/>
              </w:rPr>
              <w:t>August 30, 2025</w:t>
            </w:r>
          </w:p>
        </w:tc>
      </w:tr>
      <w:tr>
        <w:trPr/>
        <w:tc>
          <w:tcPr>
            <w:tcW w:w="397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Cash provided by (used in):</w:t>
            </w:r>
          </w:p>
        </w:tc>
        <w:tc>
          <w:tcPr>
            <w:tcW w:w="145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Operating activities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9.4 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Investing activities</w:t>
            </w:r>
          </w:p>
        </w:tc>
        <w:tc>
          <w:tcPr>
            <w:tcW w:w="12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(32.1)</w:t>
            </w:r>
          </w:p>
        </w:tc>
        <w:tc>
          <w:tcPr>
            <w:tcW w:w="1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(30.5)</w:t>
            </w:r>
          </w:p>
        </w:tc>
        <w:tc>
          <w:tcPr>
            <w:tcW w:w="23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Financing activities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(9.2)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Effect of exchange rate changes</w:t>
            </w:r>
          </w:p>
        </w:tc>
        <w:tc>
          <w:tcPr>
            <w:tcW w:w="12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(1.3)</w:t>
            </w:r>
          </w:p>
        </w:tc>
        <w:tc>
          <w:tcPr>
            <w:tcW w:w="1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3.8 </w:t>
            </w:r>
          </w:p>
        </w:tc>
        <w:tc>
          <w:tcPr>
            <w:tcW w:w="23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Net change in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10.9</w:t>
            </w:r>
            <w:r>
              <w:rPr>
                <w:color w:val="252525"/>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252525"/>
                <w:sz w:val="20"/>
              </w:rPr>
            </w:pPr>
            <w:r>
              <w:rPr>
                <w:rFonts w:ascii="Times New Roman;serif" w:hAnsi="Times New Roman;serif"/>
                <w:b/>
                <w:color w:val="252525"/>
                <w:sz w:val="20"/>
              </w:rPr>
              <w:t>(26.5)</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Cash and cash equivalents, beginning of period</w:t>
            </w:r>
          </w:p>
        </w:tc>
        <w:tc>
          <w:tcPr>
            <w:tcW w:w="12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167.7 </w:t>
            </w:r>
          </w:p>
        </w:tc>
        <w:tc>
          <w:tcPr>
            <w:tcW w:w="1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193.7 </w:t>
            </w:r>
          </w:p>
        </w:tc>
        <w:tc>
          <w:tcPr>
            <w:tcW w:w="23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Cash and cash equivalents, end of period</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178.6</w:t>
            </w:r>
            <w:r>
              <w:rPr>
                <w:color w:val="252525"/>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167.2</w:t>
            </w:r>
            <w:r>
              <w:rPr>
                <w:color w:val="252525"/>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MillerKnoll, Inc.</w:t>
      </w:r>
    </w:p>
    <w:p>
      <w:pPr>
        <w:pStyle w:val="TextBody"/>
        <w:bidi w:val="0"/>
        <w:spacing w:lineRule="auto" w:line="288" w:before="0" w:after="180"/>
        <w:jc w:val="left"/>
        <w:rPr>
          <w:rFonts w:ascii="Times New Roman;serif" w:hAnsi="Times New Roman;serif"/>
          <w:b/>
          <w:color w:val="252525"/>
          <w:sz w:val="32"/>
        </w:rPr>
      </w:pPr>
      <w:r>
        <w:rPr>
          <w:rFonts w:ascii="Times New Roman;serif" w:hAnsi="Times New Roman;serif"/>
          <w:b/>
          <w:color w:val="252525"/>
          <w:sz w:val="32"/>
        </w:rPr>
        <w:t xml:space="preserve">Condensed Consolidated Balance Sheets </w:t>
      </w:r>
    </w:p>
    <w:tbl>
      <w:tblPr>
        <w:tblW w:w="10205" w:type="dxa"/>
        <w:jc w:val="left"/>
        <w:tblInd w:w="0" w:type="dxa"/>
        <w:tblLayout w:type="fixed"/>
        <w:tblCellMar>
          <w:top w:w="28" w:type="dxa"/>
          <w:left w:w="28" w:type="dxa"/>
          <w:bottom w:w="28" w:type="dxa"/>
          <w:right w:w="28" w:type="dxa"/>
        </w:tblCellMar>
      </w:tblPr>
      <w:tblGrid>
        <w:gridCol w:w="2658"/>
        <w:gridCol w:w="2279"/>
        <w:gridCol w:w="2264"/>
        <w:gridCol w:w="269"/>
        <w:gridCol w:w="997"/>
        <w:gridCol w:w="139"/>
        <w:gridCol w:w="109"/>
        <w:gridCol w:w="109"/>
        <w:gridCol w:w="109"/>
        <w:gridCol w:w="233"/>
        <w:gridCol w:w="865"/>
        <w:gridCol w:w="174"/>
      </w:tblGrid>
      <w:tr>
        <w:trPr/>
        <w:tc>
          <w:tcPr>
            <w:tcW w:w="2658"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252525"/>
                <w:sz w:val="18"/>
              </w:rPr>
            </w:pPr>
            <w:r>
              <w:rPr>
                <w:rFonts w:ascii="Times New Roman;serif" w:hAnsi="Times New Roman;serif"/>
                <w:b w:val="false"/>
                <w:i/>
                <w:color w:val="252525"/>
                <w:sz w:val="18"/>
              </w:rPr>
              <w:t>(Unaudited) (Dollars in millions)</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52525"/>
                <w:sz w:val="20"/>
              </w:rPr>
            </w:pPr>
            <w:r>
              <w:rPr>
                <w:rFonts w:ascii="Times New Roman;serif" w:hAnsi="Times New Roman;serif"/>
                <w:b w:val="false"/>
                <w:color w:val="252525"/>
                <w:sz w:val="20"/>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52525"/>
                <w:sz w:val="20"/>
              </w:rPr>
            </w:pPr>
            <w:r>
              <w:rPr>
                <w:rFonts w:ascii="Times New Roman;serif" w:hAnsi="Times New Roman;serif"/>
                <w:b w:val="false"/>
                <w:color w:val="252525"/>
                <w:sz w:val="20"/>
              </w:rPr>
              <w:t>May 30, 2026</w:t>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u w:val="single"/>
              </w:rPr>
            </w:pPr>
            <w:r>
              <w:rPr>
                <w:rFonts w:ascii="Times New Roman;serif" w:hAnsi="Times New Roman;serif"/>
                <w:b w:val="false"/>
                <w:color w:val="252525"/>
                <w:sz w:val="20"/>
                <w:u w:val="single"/>
              </w:rPr>
              <w:t>ASSETS</w:t>
            </w:r>
          </w:p>
        </w:tc>
        <w:tc>
          <w:tcPr>
            <w:tcW w:w="140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Current Assets: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Cash and cash equivalents</w:t>
            </w:r>
          </w:p>
        </w:tc>
        <w:tc>
          <w:tcPr>
            <w:tcW w:w="26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997"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178.6 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86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167.7 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Accounts receivable, net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357.4 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Unbilled accounts receivable</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30.1 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18.3 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Inventories, net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514.7 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488.4 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Prepaid expenses and other</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102.3 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105.4 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Total current assets</w:t>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1,140.0 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1,137.2 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Net property and equipment</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515.4 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511.3 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Right of use assets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451.2 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445.9 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52525"/>
                <w:sz w:val="20"/>
              </w:rPr>
            </w:pPr>
            <w:r>
              <w:rPr>
                <w:rFonts w:ascii="Times New Roman;serif" w:hAnsi="Times New Roman;serif"/>
                <w:b w:val="false"/>
                <w:color w:val="252525"/>
                <w:sz w:val="20"/>
              </w:rPr>
              <w:t>Goodwill</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1,159.4 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1,161.3 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52525"/>
                <w:sz w:val="20"/>
              </w:rPr>
            </w:pPr>
            <w:r>
              <w:rPr>
                <w:rFonts w:ascii="Times New Roman;serif" w:hAnsi="Times New Roman;serif"/>
                <w:b w:val="false"/>
                <w:color w:val="252525"/>
                <w:sz w:val="20"/>
              </w:rPr>
              <w:t>Indefinite-lived intangibles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434.6 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435.3 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52525"/>
                <w:sz w:val="20"/>
              </w:rPr>
            </w:pPr>
            <w:r>
              <w:rPr>
                <w:rFonts w:ascii="Times New Roman;serif" w:hAnsi="Times New Roman;serif"/>
                <w:b w:val="false"/>
                <w:color w:val="252525"/>
                <w:sz w:val="20"/>
              </w:rPr>
              <w:t>Other amortizable intangibles, net</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205.2 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214.0 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52525"/>
                <w:sz w:val="20"/>
              </w:rPr>
            </w:pPr>
            <w:r>
              <w:rPr>
                <w:rFonts w:ascii="Times New Roman;serif" w:hAnsi="Times New Roman;serif"/>
                <w:b w:val="false"/>
                <w:color w:val="252525"/>
                <w:sz w:val="20"/>
              </w:rPr>
              <w:t>Other noncurrent assets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97.1 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95.5 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Total Assets</w:t>
            </w:r>
          </w:p>
        </w:tc>
        <w:tc>
          <w:tcPr>
            <w:tcW w:w="26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99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4,002.9</w:t>
            </w:r>
            <w:r>
              <w:rPr>
                <w:color w:val="252525"/>
              </w:rPr>
              <w:t> </w:t>
            </w:r>
          </w:p>
        </w:tc>
        <w:tc>
          <w:tcPr>
            <w:tcW w:w="13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86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4,000.5</w:t>
            </w:r>
            <w:r>
              <w:rPr>
                <w:color w:val="252525"/>
              </w:rPr>
              <w:t> </w:t>
            </w:r>
          </w:p>
        </w:tc>
        <w:tc>
          <w:tcPr>
            <w:tcW w:w="17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u w:val="single"/>
              </w:rPr>
            </w:pPr>
            <w:r>
              <w:rPr>
                <w:rFonts w:ascii="Times New Roman;serif" w:hAnsi="Times New Roman;serif"/>
                <w:b w:val="false"/>
                <w:color w:val="252525"/>
                <w:sz w:val="20"/>
                <w:u w:val="single"/>
              </w:rPr>
              <w:t>LIABILITIES, REDEEMABLE NONCONTROLLING INTERESTS &amp; STOCKHOLDERS' EQUITY</w:t>
            </w:r>
          </w:p>
        </w:tc>
        <w:tc>
          <w:tcPr>
            <w:tcW w:w="140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Current Liabilities: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Accounts payable</w:t>
            </w:r>
          </w:p>
        </w:tc>
        <w:tc>
          <w:tcPr>
            <w:tcW w:w="26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997"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253.5 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w:t>
            </w:r>
          </w:p>
        </w:tc>
        <w:tc>
          <w:tcPr>
            <w:tcW w:w="86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279.1 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Short-term borrowings and current portion of long-term debt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25.1 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Short-term lease liability</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81.7 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82.0 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Accrued liabilities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328.7 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334.9 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Total current liabilities</w:t>
            </w:r>
          </w:p>
        </w:tc>
        <w:tc>
          <w:tcPr>
            <w:tcW w:w="126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692.3 </w:t>
            </w:r>
          </w:p>
        </w:tc>
        <w:tc>
          <w:tcPr>
            <w:tcW w:w="13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721.1 </w:t>
            </w:r>
          </w:p>
        </w:tc>
        <w:tc>
          <w:tcPr>
            <w:tcW w:w="17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Long-term debt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1,270.4 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1,260.6 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Lease liabilities</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440.2 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433.8 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52525"/>
                <w:sz w:val="20"/>
              </w:rPr>
            </w:pPr>
            <w:r>
              <w:rPr>
                <w:rFonts w:ascii="Times New Roman;serif" w:hAnsi="Times New Roman;serif"/>
                <w:b w:val="false"/>
                <w:color w:val="252525"/>
                <w:sz w:val="20"/>
              </w:rPr>
              <w:t>Other liabilities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180.0 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52525"/>
                <w:sz w:val="20"/>
              </w:rPr>
            </w:pPr>
            <w:r>
              <w:rPr>
                <w:rFonts w:ascii="Times New Roman;serif" w:hAnsi="Times New Roman;serif"/>
                <w:b w:val="false"/>
                <w:color w:val="252525"/>
                <w:sz w:val="20"/>
              </w:rPr>
              <w:t>179.1 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Total Liabilities</w:t>
            </w:r>
          </w:p>
        </w:tc>
        <w:tc>
          <w:tcPr>
            <w:tcW w:w="1266"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2,582.9</w:t>
            </w:r>
            <w:r>
              <w:rPr>
                <w:color w:val="252525"/>
              </w:rPr>
              <w:t> </w:t>
            </w:r>
          </w:p>
        </w:tc>
        <w:tc>
          <w:tcPr>
            <w:tcW w:w="13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2,594.6</w:t>
            </w:r>
            <w:r>
              <w:rPr>
                <w:color w:val="252525"/>
              </w:rPr>
              <w:t> </w:t>
            </w:r>
          </w:p>
        </w:tc>
        <w:tc>
          <w:tcPr>
            <w:tcW w:w="17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Redeemable Noncontrolling Interests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63.8</w:t>
            </w:r>
            <w:r>
              <w:rPr>
                <w:color w:val="252525"/>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63.3</w:t>
            </w:r>
            <w:r>
              <w:rPr>
                <w:color w:val="252525"/>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 xml:space="preserve">Stockholders' Equity </w:t>
            </w:r>
          </w:p>
        </w:tc>
        <w:tc>
          <w:tcPr>
            <w:tcW w:w="126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1,356.2</w:t>
            </w:r>
            <w:r>
              <w:rPr>
                <w:color w:val="252525"/>
              </w:rPr>
              <w:t> </w:t>
            </w:r>
          </w:p>
        </w:tc>
        <w:tc>
          <w:tcPr>
            <w:tcW w:w="1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1,342.6</w:t>
            </w:r>
            <w:r>
              <w:rPr>
                <w:color w:val="252525"/>
              </w:rPr>
              <w:t> </w:t>
            </w:r>
          </w:p>
        </w:tc>
        <w:tc>
          <w:tcPr>
            <w:tcW w:w="1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Total Liabilities, Redeemable Noncontrolling Interests and Stockholders' Equity</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4,002.9</w:t>
            </w:r>
            <w:r>
              <w:rPr>
                <w:color w:val="252525"/>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52525"/>
                <w:sz w:val="20"/>
              </w:rPr>
            </w:pPr>
            <w:r>
              <w:rPr>
                <w:rFonts w:ascii="Times New Roman;serif" w:hAnsi="Times New Roman;serif"/>
                <w:b/>
                <w:color w:val="252525"/>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52525"/>
                <w:sz w:val="20"/>
              </w:rPr>
              <w:t>4,000.5</w:t>
            </w:r>
            <w:r>
              <w:rPr>
                <w:color w:val="252525"/>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12" w:before="0" w:after="60"/>
        <w:jc w:val="left"/>
        <w:rPr>
          <w:rFonts w:ascii="Times New Roman;serif" w:hAnsi="Times New Roman;serif"/>
          <w:b/>
          <w:color w:val="252525"/>
          <w:sz w:val="20"/>
        </w:rPr>
      </w:pPr>
      <w:r>
        <w:rPr>
          <w:rFonts w:ascii="Times New Roman;serif" w:hAnsi="Times New Roman;serif"/>
          <w:b/>
          <w:color w:val="252525"/>
          <w:sz w:val="20"/>
        </w:rPr>
        <w:t>Non-GAAP Financial Measures and Other Supplemental Data</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This presentation contains non-GAAP financial measures that are not in accordance with, nor an alternative to, generally accepted accounting principles (GAAP) and may be different from non-GAAP measures presented by other companies. These non-GAAP financial measures are not measurements of our financial performance under GAAP and should not be considered an alternative to the related GAAP measurement. These non-GAAP measures have limitations as analytical tools and should not be considered in isolation or as a substitute for analysis of our results as reported under GAAP. Our presentation of non-GAAP measures should not be construed as an indication that our future results will be unaffected by unusual or infrequent items. We compensate for these limitations by providing equal prominence of our GAAP results. Reconciliations of these non-GAAP measures to the most directly comparable financial measures calculated and presented in accordance with GAAP are provided in the financial tables included within this presentation. The Company believes these non-GAAP measures are useful for investors as they provide financial information on a more comparative basis for the periods presented.</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referenced within this presentation may include: Adjusted Effective Tax Rate, Adjusted Operating Earnings (Loss), Adjusted Operating Margin, Adjusted Earnings per Share - Diluted, Adjusted Gross Margin, Adjusted Operating Expenses, Adjusted Bank Covenant EBITDA, and Organic Growth (Decline).</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Adjusted Effective Tax Rate refers to the projected full-year GAAP tax rate, adjusted to exclude certain unusual or infrequent events that are expected to significantly impact that rate.</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Earnings (Loss) represents reported operating earnings less amortization of Knoll purchased intangibles, restructuring charges, and CEO transition costs. These adjustments are described further below.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Margin is calculated as adjusted operating earnings (loss) divided by net sales.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 Diluted represents reported diluted earnings per share excluding the impact from amortization of Knoll purchased intangibles, restructuring charges, debt extinguishment charges, CEO transition costs and the related tax effect of these adjustments. These adjustments are described further below.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Gross Margin represents gross margin plus restructuring charges. These adjustments are described further below.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Expenses represents reported operating expenses excluding restructuring charges, amortization of Knoll purchased intangibles, and CEO transition costs. These adjustments are described further below.</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Adjusted Bank Covenant EBITDA is calculated by excluding depreciation, amortization, interest expense, taxes from net income, and certain other adjustments. Other adjustments include, as applicable in the period, charges associated with business restructuring actions, integration charges, impairment expenses, non-cash stock-based compensation, and other items as described in our lending agreements.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Organic Growth (Decline) represents the change in sales and orders, excluding currency translation effects.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adjustments to arrive at these non-GAAP financial measures are as follows: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i/>
          <w:color w:val="000000"/>
          <w:sz w:val="20"/>
        </w:rPr>
        <w:t xml:space="preserve">Amortization of Knoll purchased intangibles: </w:t>
      </w:r>
      <w:r>
        <w:rPr>
          <w:rFonts w:ascii="Times New Roman;serif" w:hAnsi="Times New Roman;serif"/>
          <w:b w:val="false"/>
          <w:color w:val="000000"/>
          <w:sz w:val="20"/>
        </w:rPr>
        <w:t xml:space="preserve">Includes expenses associated with the amortization of acquisition related intangibles acquired as part of the Knoll acquisition. The revenue generated by the associated intangible assets has not been excluded from the related non-GAAP financial measure. We exclude the impact of the amortization of Knoll purchased intangibles as such non-cash amounts were significantly impacted by the size of the Knoll acquisition. Furthermore, we believe that this adjustment enables better comparison of our results as Amortization of Knoll Purchased Intangibles will not recur in future periods once such intangible assets have been fully amortized. Any future acquisitions may result in the amortization of additional intangible assets. Although we exclude the Amortization of Knoll Purchased Intangibles in these non-GAAP measures, we believe that it is important for investors to understand that such intangible assets were recorded as part of purchase accounting and contribute to revenue generation. </w:t>
      </w:r>
    </w:p>
    <w:p>
      <w:pPr>
        <w:pStyle w:val="TextBody"/>
        <w:bidi w:val="0"/>
        <w:spacing w:before="0" w:after="0"/>
        <w:ind w:left="0" w:right="0" w:firstLine="720"/>
        <w:jc w:val="both"/>
        <w:rPr/>
      </w:pPr>
      <w:r>
        <w:rPr/>
      </w:r>
    </w:p>
    <w:p>
      <w:pPr>
        <w:pStyle w:val="TextBody"/>
        <w:bidi w:val="0"/>
        <w:spacing w:lineRule="auto" w:line="312" w:before="0" w:after="0"/>
        <w:jc w:val="both"/>
        <w:rPr/>
      </w:pP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rPr>
        <w:t>Includes costs associated with actions involving targeted workforce reductions, facility consolidation charges, and accelerated depreciation of fixed assets.</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i/>
          <w:color w:val="000000"/>
          <w:sz w:val="20"/>
        </w:rPr>
        <w:t>Debt extinguishment charges:</w:t>
      </w:r>
      <w:r>
        <w:rPr>
          <w:color w:val="000000"/>
        </w:rPr>
        <w:t xml:space="preserve"> </w:t>
      </w:r>
      <w:r>
        <w:rPr>
          <w:rFonts w:ascii="Times New Roman;serif" w:hAnsi="Times New Roman;serif"/>
          <w:b w:val="false"/>
          <w:color w:val="000000"/>
          <w:sz w:val="20"/>
        </w:rPr>
        <w:t>Includes expenses associated with the extinguishment of debt. We excluded these items from our non-GAAP measures because they relate to a specific transaction and are not reflective of our ongoing financial performance.</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i/>
          <w:color w:val="000000"/>
          <w:sz w:val="20"/>
        </w:rPr>
        <w:t>CEO transition costs:</w:t>
      </w:r>
      <w:r>
        <w:rPr>
          <w:color w:val="000000"/>
        </w:rPr>
        <w:t xml:space="preserve"> </w:t>
      </w:r>
      <w:r>
        <w:rPr>
          <w:rFonts w:ascii="Times New Roman;serif" w:hAnsi="Times New Roman;serif"/>
          <w:b w:val="false"/>
          <w:color w:val="000000"/>
          <w:sz w:val="20"/>
        </w:rPr>
        <w:t>Includes one</w:t>
        <w:noBreakHyphen/>
        <w:t xml:space="preserve">time expenses consisting primarily of severance, benefits and advisory fees. </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i/>
          <w:color w:val="000000"/>
          <w:sz w:val="20"/>
        </w:rPr>
        <w:t>Tax related items:</w:t>
      </w:r>
      <w:r>
        <w:rPr>
          <w:color w:val="000000"/>
        </w:rPr>
        <w:t xml:space="preserve"> </w:t>
      </w:r>
      <w:r>
        <w:rPr>
          <w:rFonts w:ascii="Times New Roman;serif" w:hAnsi="Times New Roman;serif"/>
          <w:b w:val="false"/>
          <w:color w:val="000000"/>
          <w:sz w:val="20"/>
        </w:rPr>
        <w:t xml:space="preserve">We excluded the income tax benefit/provision effect of the tax related items from our non-GAAP measures because they are not associated with the tax expense on our ongoing operating results. </w:t>
      </w:r>
    </w:p>
    <w:p>
      <w:pPr>
        <w:pStyle w:val="TextBody"/>
        <w:bidi w:val="0"/>
        <w:spacing w:before="0" w:after="0"/>
        <w:jc w:val="both"/>
        <w:rPr/>
      </w:pPr>
      <w:r>
        <w:rPr/>
      </w:r>
    </w:p>
    <w:p>
      <w:pPr>
        <w:pStyle w:val="TextBody"/>
        <w:bidi w:val="0"/>
        <w:spacing w:lineRule="auto" w:line="312"/>
        <w:jc w:val="both"/>
        <w:rPr>
          <w:rFonts w:ascii="Times New Roman;serif" w:hAnsi="Times New Roman;serif"/>
          <w:b w:val="false"/>
          <w:color w:val="000000"/>
          <w:sz w:val="20"/>
        </w:rPr>
      </w:pPr>
      <w:r>
        <w:rPr>
          <w:rFonts w:ascii="Times New Roman;serif" w:hAnsi="Times New Roman;serif"/>
          <w:b w:val="false"/>
          <w:color w:val="000000"/>
          <w:sz w:val="20"/>
        </w:rPr>
        <w:t>Certain tables below summarize select financial information, for the periods indicated, related to each of the Company’s reportable segments. The North America Contract segment includes the operations associated with the design, manufacture and sale of furniture products directly or indirectly through an independent dealership network for office, healthcare, and educational environments throughout the United States and Canada as well as the global operations of the Spinneybeck, FilzFelt, Maharam, Edelman, and Knoll Textile brands. The International Contract segment includes the operations associated with the design, manufacture and sale of furniture products, indirectly or directly through an independent dealership network in Europe, the Middle East, Africa and Asia-Pacific and Latin America. The Global Retail segment includes global operations associated with the sale of modern design furnishings and accessories to third party retailers, as well as direct to consumer sales through eCommerce, direct-mail catalogs, and physical retail stores as well as the global operations of the Holly Hunt brand. Corporate costs represent unallocated expenses related to general corporate functions, including, but not limited to, certain legal, executive, corporate finance, information technology, administrative and integration-related costs.</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A. Reconciliation of Operating Earnings (Loss) to Adjusted Operating Earnings (Loss) by Segment</w:t>
      </w:r>
    </w:p>
    <w:tbl>
      <w:tblPr>
        <w:tblW w:w="7374" w:type="dxa"/>
        <w:jc w:val="left"/>
        <w:tblInd w:w="0" w:type="dxa"/>
        <w:tblLayout w:type="fixed"/>
        <w:tblCellMar>
          <w:top w:w="28" w:type="dxa"/>
          <w:left w:w="28" w:type="dxa"/>
          <w:bottom w:w="28" w:type="dxa"/>
          <w:right w:w="28" w:type="dxa"/>
        </w:tblCellMar>
      </w:tblPr>
      <w:tblGrid>
        <w:gridCol w:w="1186"/>
        <w:gridCol w:w="1039"/>
        <w:gridCol w:w="1044"/>
        <w:gridCol w:w="196"/>
        <w:gridCol w:w="556"/>
        <w:gridCol w:w="109"/>
        <w:gridCol w:w="278"/>
        <w:gridCol w:w="278"/>
        <w:gridCol w:w="286"/>
        <w:gridCol w:w="196"/>
        <w:gridCol w:w="556"/>
        <w:gridCol w:w="109"/>
        <w:gridCol w:w="278"/>
        <w:gridCol w:w="278"/>
        <w:gridCol w:w="286"/>
        <w:gridCol w:w="109"/>
        <w:gridCol w:w="109"/>
        <w:gridCol w:w="109"/>
        <w:gridCol w:w="109"/>
        <w:gridCol w:w="109"/>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0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26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70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u w:val="single"/>
              </w:rPr>
            </w:pPr>
            <w:r>
              <w:rPr>
                <w:rFonts w:ascii="Times New Roman;serif" w:hAnsi="Times New Roman;serif"/>
                <w:b/>
                <w:color w:val="252525"/>
                <w:sz w:val="18"/>
                <w:u w:val="single"/>
              </w:rPr>
              <w:t>North America Contract</w:t>
            </w:r>
          </w:p>
        </w:tc>
        <w:tc>
          <w:tcPr>
            <w:tcW w:w="861" w:type="dxa"/>
            <w:gridSpan w:val="3"/>
            <w:tcBorders>
              <w:top w:val="single" w:sz="8" w:space="0" w:color="000000"/>
              <w:left w:val="single" w:sz="8" w:space="0" w:color="000000"/>
            </w:tcBorders>
            <w:shd w:fill="D1DBE0"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right w:val="single" w:sz="8" w:space="0" w:color="000000"/>
            </w:tcBorders>
            <w:shd w:fill="D1DBE0"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196.8 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38.9 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196.0 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36.7 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Total operating expenses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29.5 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26.1 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Operating earnings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47.5</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9.4</w:t>
            </w:r>
            <w:r>
              <w:rPr>
                <w:color w:val="252525"/>
              </w:rPr>
              <w:t>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56.9</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10.7</w:t>
            </w: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3.4 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0.7 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0.7 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earnings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53.9</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10.7</w:t>
            </w: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61.1</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11.4</w:t>
            </w: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left w:val="single" w:sz="8" w:space="0" w:color="000000"/>
            </w:tcBorders>
            <w:shd w:fill="D1DBE0"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right w:val="single" w:sz="8" w:space="0" w:color="000000"/>
            </w:tcBorders>
            <w:shd w:fill="D1DBE0"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u w:val="single"/>
              </w:rPr>
            </w:pPr>
            <w:r>
              <w:rPr>
                <w:rFonts w:ascii="Times New Roman;serif" w:hAnsi="Times New Roman;serif"/>
                <w:b/>
                <w:color w:val="252525"/>
                <w:sz w:val="18"/>
                <w:u w:val="single"/>
              </w:rPr>
              <w:t>International Contract</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156.8 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167.5 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36.4 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35.3 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Total operating expenses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53.3 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34.0 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45.7 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27.3 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Operating earnings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3.7</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2.4</w:t>
            </w: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13.5</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8.1</w:t>
            </w: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2.8 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1.8 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earnings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7.2</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4.6</w:t>
            </w:r>
            <w:r>
              <w:rPr>
                <w:color w:val="252525"/>
              </w:rPr>
              <w:t>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14.3</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8.5</w:t>
            </w: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u w:val="single"/>
              </w:rPr>
            </w:pPr>
            <w:r>
              <w:rPr>
                <w:rFonts w:ascii="Times New Roman;serif" w:hAnsi="Times New Roman;serif"/>
                <w:b/>
                <w:color w:val="252525"/>
                <w:sz w:val="18"/>
                <w:u w:val="single"/>
              </w:rPr>
              <w:t>Global Retail</w:t>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131.5 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50.4 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112.9 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44.4 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Total operating expenses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44.3 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43.8 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Operating earnings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16.0</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6.1</w:t>
            </w:r>
            <w:r>
              <w:rPr>
                <w:color w:val="252525"/>
              </w:rPr>
              <w:t>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1.4</w:t>
            </w: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0.6</w:t>
            </w: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1.6 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1.6 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earnings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18.3</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7.0</w:t>
            </w: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3.0</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1.2</w:t>
            </w: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left w:val="single" w:sz="8" w:space="0" w:color="000000"/>
            </w:tcBorders>
            <w:shd w:fill="D1DBE0"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right w:val="single" w:sz="8" w:space="0" w:color="000000"/>
            </w:tcBorders>
            <w:shd w:fill="D1DBE0"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u w:val="single"/>
              </w:rPr>
            </w:pPr>
            <w:r>
              <w:rPr>
                <w:rFonts w:ascii="Times New Roman;serif" w:hAnsi="Times New Roman;serif"/>
                <w:b/>
                <w:color w:val="252525"/>
                <w:sz w:val="18"/>
                <w:u w:val="single"/>
              </w:rPr>
              <w:t>Corporate</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expenses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15.4 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18.3 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Operating (loss)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CEO transition costs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(loss)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left w:val="single" w:sz="8" w:space="0" w:color="000000"/>
            </w:tcBorders>
            <w:shd w:fill="D1DBE0"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right w:val="single" w:sz="8" w:space="0" w:color="000000"/>
            </w:tcBorders>
            <w:shd w:fill="D1DBE0"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u w:val="single"/>
              </w:rPr>
            </w:pPr>
            <w:r>
              <w:rPr>
                <w:rFonts w:ascii="Times New Roman;serif" w:hAnsi="Times New Roman;serif"/>
                <w:b/>
                <w:color w:val="252525"/>
                <w:sz w:val="18"/>
                <w:u w:val="single"/>
              </w:rPr>
              <w:t>MillerKnoll, Inc.</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w:t>
            </w:r>
          </w:p>
        </w:tc>
        <w:tc>
          <w:tcPr>
            <w:tcW w:w="196"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923.4 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5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955.7 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100.0 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41.7 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Total operating expenses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333.5 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36.1 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314.6 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32.9 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Operating earnings</w:t>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51.8</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5.6</w:t>
            </w:r>
            <w:r>
              <w:rPr>
                <w:color w:val="252525"/>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53.5</w:t>
            </w: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5.6</w:t>
            </w: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0.7 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CEO transition costs</w:t>
            </w:r>
          </w:p>
        </w:tc>
        <w:tc>
          <w:tcPr>
            <w:tcW w:w="75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5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earnings</w:t>
            </w:r>
          </w:p>
        </w:tc>
        <w:tc>
          <w:tcPr>
            <w:tcW w:w="196" w:type="dxa"/>
            <w:tcBorders>
              <w:left w:val="single" w:sz="8" w:space="0" w:color="000000"/>
              <w:bottom w:val="double" w:sz="8" w:space="0" w:color="000000"/>
            </w:tcBorders>
            <w:shd w:fill="FFFFFF" w:val="clear"/>
            <w:tcMar>
              <w:top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65.7</w:t>
            </w:r>
            <w:r>
              <w:rPr>
                <w:color w:val="252525"/>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7.1</w:t>
            </w:r>
            <w:r>
              <w:rPr>
                <w:color w:val="252525"/>
              </w:rPr>
              <w:t> </w:t>
            </w:r>
          </w:p>
        </w:tc>
        <w:tc>
          <w:tcPr>
            <w:tcW w:w="2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60.1</w:t>
            </w:r>
            <w:r>
              <w:rPr>
                <w:color w:val="252525"/>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6.3</w:t>
            </w:r>
            <w:r>
              <w:rPr>
                <w:color w:val="252525"/>
              </w:rPr>
              <w:t> </w:t>
            </w:r>
          </w:p>
        </w:tc>
        <w:tc>
          <w:tcPr>
            <w:tcW w:w="286" w:type="dxa"/>
            <w:tcBorders>
              <w:bottom w:val="doub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B. Reconciliation of Earnings per Share - Diluted to Adjusted Earnings per Share - Diluted</w:t>
      </w:r>
    </w:p>
    <w:tbl>
      <w:tblPr>
        <w:tblW w:w="9786" w:type="dxa"/>
        <w:jc w:val="left"/>
        <w:tblInd w:w="0" w:type="dxa"/>
        <w:tblLayout w:type="fixed"/>
        <w:tblCellMar>
          <w:top w:w="28" w:type="dxa"/>
          <w:left w:w="28" w:type="dxa"/>
          <w:bottom w:w="28" w:type="dxa"/>
          <w:right w:w="28" w:type="dxa"/>
        </w:tblCellMar>
      </w:tblPr>
      <w:tblGrid>
        <w:gridCol w:w="2505"/>
        <w:gridCol w:w="2202"/>
        <w:gridCol w:w="2208"/>
        <w:gridCol w:w="325"/>
        <w:gridCol w:w="799"/>
        <w:gridCol w:w="180"/>
        <w:gridCol w:w="325"/>
        <w:gridCol w:w="799"/>
        <w:gridCol w:w="180"/>
        <w:gridCol w:w="109"/>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3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Earnings per share - diluted</w:t>
            </w:r>
          </w:p>
        </w:tc>
        <w:tc>
          <w:tcPr>
            <w:tcW w:w="32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9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0.38 </w:t>
            </w:r>
          </w:p>
        </w:tc>
        <w:tc>
          <w:tcPr>
            <w:tcW w:w="18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9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0.29 </w:t>
            </w:r>
          </w:p>
        </w:tc>
        <w:tc>
          <w:tcPr>
            <w:tcW w:w="180"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Add: Amortization of Knoll purchased intangibles</w:t>
            </w:r>
          </w:p>
        </w:tc>
        <w:tc>
          <w:tcPr>
            <w:tcW w:w="1124"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0.08 </w:t>
            </w:r>
          </w:p>
        </w:tc>
        <w:tc>
          <w:tcPr>
            <w:tcW w:w="18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0.09 </w:t>
            </w:r>
          </w:p>
        </w:tc>
        <w:tc>
          <w:tcPr>
            <w:tcW w:w="18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Add: Restructuring charges</w:t>
            </w:r>
          </w:p>
        </w:tc>
        <w:tc>
          <w:tcPr>
            <w:tcW w:w="11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0.01 </w:t>
            </w:r>
          </w:p>
        </w:tc>
        <w:tc>
          <w:tcPr>
            <w:tcW w:w="18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Add: Debt extinguishment charges</w:t>
            </w:r>
          </w:p>
        </w:tc>
        <w:tc>
          <w:tcPr>
            <w:tcW w:w="1124"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8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0.11 </w:t>
            </w:r>
          </w:p>
        </w:tc>
        <w:tc>
          <w:tcPr>
            <w:tcW w:w="18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Add: CEO transition costs</w:t>
            </w:r>
          </w:p>
        </w:tc>
        <w:tc>
          <w:tcPr>
            <w:tcW w:w="11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8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Tax impact on adjustments</w:t>
            </w:r>
          </w:p>
        </w:tc>
        <w:tc>
          <w:tcPr>
            <w:tcW w:w="1124"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(0.05)</w:t>
            </w:r>
          </w:p>
        </w:tc>
        <w:tc>
          <w:tcPr>
            <w:tcW w:w="18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(0.05)</w:t>
            </w:r>
          </w:p>
        </w:tc>
        <w:tc>
          <w:tcPr>
            <w:tcW w:w="18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earnings per share - diluted</w:t>
            </w:r>
          </w:p>
        </w:tc>
        <w:tc>
          <w:tcPr>
            <w:tcW w:w="325" w:type="dxa"/>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0.53</w:t>
            </w:r>
            <w:r>
              <w:rPr>
                <w:color w:val="252525"/>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0.45</w:t>
            </w:r>
            <w:r>
              <w:rPr>
                <w:color w:val="252525"/>
              </w:rPr>
              <w:t> </w:t>
            </w:r>
          </w:p>
        </w:tc>
        <w:tc>
          <w:tcPr>
            <w:tcW w:w="18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op w:val="double" w:sz="8" w:space="0" w:color="000000"/>
              <w:bottom w:val="single" w:sz="8" w:space="0" w:color="000000"/>
            </w:tcBorders>
            <w:shd w:fill="D1DBE0"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Weighted average shares outstanding (used for calculating adjusted earnings per share) – diluted</w:t>
            </w:r>
          </w:p>
        </w:tc>
        <w:tc>
          <w:tcPr>
            <w:tcW w:w="1124" w:type="dxa"/>
            <w:gridSpan w:val="2"/>
            <w:tcBorders>
              <w:top w:val="double" w:sz="8" w:space="0" w:color="000000"/>
              <w:left w:val="single" w:sz="8" w:space="0" w:color="000000"/>
              <w:bottom w:val="sing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70,040,606 </w:t>
            </w:r>
          </w:p>
        </w:tc>
        <w:tc>
          <w:tcPr>
            <w:tcW w:w="180" w:type="dxa"/>
            <w:tcBorders>
              <w:top w:val="double" w:sz="8" w:space="0" w:color="000000"/>
              <w:bottom w:val="sing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bottom w:val="single" w:sz="8" w:space="0" w:color="000000"/>
            </w:tcBorders>
            <w:shd w:fill="D1DBE0"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69,194,506 </w:t>
            </w:r>
          </w:p>
        </w:tc>
        <w:tc>
          <w:tcPr>
            <w:tcW w:w="180" w:type="dxa"/>
            <w:tcBorders>
              <w:top w:val="double" w:sz="8" w:space="0" w:color="000000"/>
              <w:bottom w:val="single" w:sz="8" w:space="0" w:color="000000"/>
              <w:right w:val="single" w:sz="8" w:space="0" w:color="000000"/>
            </w:tcBorders>
            <w:shd w:fill="D1DBE0"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C. Reconciliation of Gross Margin to Adjusted Gross Margin</w:t>
      </w:r>
    </w:p>
    <w:tbl>
      <w:tblPr>
        <w:tblW w:w="5766" w:type="dxa"/>
        <w:jc w:val="left"/>
        <w:tblInd w:w="0" w:type="dxa"/>
        <w:tblLayout w:type="fixed"/>
        <w:tblCellMar>
          <w:top w:w="28" w:type="dxa"/>
          <w:left w:w="28" w:type="dxa"/>
          <w:bottom w:w="28" w:type="dxa"/>
          <w:right w:w="28" w:type="dxa"/>
        </w:tblCellMar>
      </w:tblPr>
      <w:tblGrid>
        <w:gridCol w:w="685"/>
        <w:gridCol w:w="601"/>
        <w:gridCol w:w="604"/>
        <w:gridCol w:w="196"/>
        <w:gridCol w:w="571"/>
        <w:gridCol w:w="109"/>
        <w:gridCol w:w="240"/>
        <w:gridCol w:w="241"/>
        <w:gridCol w:w="286"/>
        <w:gridCol w:w="196"/>
        <w:gridCol w:w="571"/>
        <w:gridCol w:w="109"/>
        <w:gridCol w:w="240"/>
        <w:gridCol w:w="241"/>
        <w:gridCol w:w="286"/>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8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9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64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Gross margin</w:t>
            </w:r>
          </w:p>
        </w:tc>
        <w:tc>
          <w:tcPr>
            <w:tcW w:w="19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385.3 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41.7 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368.1 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38.5 </w:t>
            </w:r>
          </w:p>
        </w:tc>
        <w:tc>
          <w:tcPr>
            <w:tcW w:w="286"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gross margin</w:t>
            </w:r>
          </w:p>
        </w:tc>
        <w:tc>
          <w:tcPr>
            <w:tcW w:w="196" w:type="dxa"/>
            <w:tcBorders>
              <w:left w:val="single" w:sz="8" w:space="0" w:color="000000"/>
              <w:bottom w:val="double" w:sz="8" w:space="0" w:color="000000"/>
            </w:tcBorders>
            <w:shd w:fill="D1DBE0" w:val="clear"/>
            <w:tcMar>
              <w:top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7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385.8</w:t>
            </w:r>
            <w:r>
              <w:rPr>
                <w:color w:val="252525"/>
              </w:rPr>
              <w:t> </w:t>
            </w:r>
          </w:p>
        </w:tc>
        <w:tc>
          <w:tcPr>
            <w:tcW w:w="109"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41.8</w:t>
            </w:r>
            <w:r>
              <w:rPr>
                <w:color w:val="252525"/>
              </w:rPr>
              <w:t> </w:t>
            </w:r>
          </w:p>
        </w:tc>
        <w:tc>
          <w:tcPr>
            <w:tcW w:w="286"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7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368.1</w:t>
            </w:r>
            <w:r>
              <w:rPr>
                <w:color w:val="252525"/>
              </w:rPr>
              <w:t> </w:t>
            </w:r>
          </w:p>
        </w:tc>
        <w:tc>
          <w:tcPr>
            <w:tcW w:w="109"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38.5</w:t>
            </w:r>
            <w:r>
              <w:rPr>
                <w:color w:val="252525"/>
              </w:rPr>
              <w:t> </w:t>
            </w:r>
          </w:p>
        </w:tc>
        <w:tc>
          <w:tcPr>
            <w:tcW w:w="286" w:type="dxa"/>
            <w:tcBorders>
              <w:bottom w:val="double" w:sz="8" w:space="0" w:color="000000"/>
              <w:right w:val="single" w:sz="8" w:space="0" w:color="000000"/>
            </w:tcBorders>
            <w:shd w:fill="D1DBE0" w:val="clear"/>
            <w:tcMar>
              <w:top w:w="0" w:type="dxa"/>
              <w:left w:w="0" w:type="dxa"/>
              <w:bottom w:w="3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D. Reconciliation of Operating Expenses to Adjusted Operating Expenses</w:t>
      </w:r>
    </w:p>
    <w:tbl>
      <w:tblPr>
        <w:tblW w:w="7037" w:type="dxa"/>
        <w:jc w:val="left"/>
        <w:tblInd w:w="0" w:type="dxa"/>
        <w:tblLayout w:type="fixed"/>
        <w:tblCellMar>
          <w:top w:w="28" w:type="dxa"/>
          <w:left w:w="28" w:type="dxa"/>
          <w:bottom w:w="28" w:type="dxa"/>
          <w:right w:w="28" w:type="dxa"/>
        </w:tblCellMar>
      </w:tblPr>
      <w:tblGrid>
        <w:gridCol w:w="1184"/>
        <w:gridCol w:w="1041"/>
        <w:gridCol w:w="1045"/>
        <w:gridCol w:w="196"/>
        <w:gridCol w:w="571"/>
        <w:gridCol w:w="109"/>
        <w:gridCol w:w="240"/>
        <w:gridCol w:w="241"/>
        <w:gridCol w:w="286"/>
        <w:gridCol w:w="196"/>
        <w:gridCol w:w="571"/>
        <w:gridCol w:w="109"/>
        <w:gridCol w:w="240"/>
        <w:gridCol w:w="241"/>
        <w:gridCol w:w="286"/>
        <w:gridCol w:w="109"/>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8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27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64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Operating expenses</w:t>
            </w:r>
          </w:p>
        </w:tc>
        <w:tc>
          <w:tcPr>
            <w:tcW w:w="19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333.5 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36.1 </w:t>
            </w:r>
          </w:p>
        </w:tc>
        <w:tc>
          <w:tcPr>
            <w:tcW w:w="2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5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314.6 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32.9 </w:t>
            </w:r>
          </w:p>
        </w:tc>
        <w:tc>
          <w:tcPr>
            <w:tcW w:w="286"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7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767"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67"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6.1 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0.6 </w:t>
            </w:r>
          </w:p>
        </w:tc>
        <w:tc>
          <w:tcPr>
            <w:tcW w:w="286" w:type="dxa"/>
            <w:tcBorders>
              <w:right w:val="single" w:sz="8" w:space="0" w:color="000000"/>
            </w:tcBorders>
            <w:shd w:fill="D1DBE0"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CEO transition costs</w:t>
            </w:r>
          </w:p>
        </w:tc>
        <w:tc>
          <w:tcPr>
            <w:tcW w:w="7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0.2 </w:t>
            </w:r>
          </w:p>
        </w:tc>
        <w:tc>
          <w:tcPr>
            <w:tcW w:w="28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86"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operating expenses</w:t>
            </w:r>
          </w:p>
        </w:tc>
        <w:tc>
          <w:tcPr>
            <w:tcW w:w="196" w:type="dxa"/>
            <w:tcBorders>
              <w:left w:val="single" w:sz="8" w:space="0" w:color="000000"/>
              <w:bottom w:val="double" w:sz="8" w:space="0" w:color="000000"/>
            </w:tcBorders>
            <w:shd w:fill="D1DBE0" w:val="clear"/>
            <w:tcMar>
              <w:top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7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320.1</w:t>
            </w:r>
            <w:r>
              <w:rPr>
                <w:color w:val="252525"/>
              </w:rPr>
              <w:t> </w:t>
            </w:r>
          </w:p>
        </w:tc>
        <w:tc>
          <w:tcPr>
            <w:tcW w:w="109"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34.7</w:t>
            </w:r>
            <w:r>
              <w:rPr>
                <w:color w:val="252525"/>
              </w:rPr>
              <w:t> </w:t>
            </w:r>
          </w:p>
        </w:tc>
        <w:tc>
          <w:tcPr>
            <w:tcW w:w="286"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96"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57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308.0</w:t>
            </w:r>
            <w:r>
              <w:rPr>
                <w:color w:val="252525"/>
              </w:rPr>
              <w:t> </w:t>
            </w:r>
          </w:p>
        </w:tc>
        <w:tc>
          <w:tcPr>
            <w:tcW w:w="109"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32.2</w:t>
            </w:r>
            <w:r>
              <w:rPr>
                <w:color w:val="252525"/>
              </w:rPr>
              <w:t> </w:t>
            </w:r>
          </w:p>
        </w:tc>
        <w:tc>
          <w:tcPr>
            <w:tcW w:w="286" w:type="dxa"/>
            <w:tcBorders>
              <w:bottom w:val="double" w:sz="8" w:space="0" w:color="000000"/>
              <w:right w:val="single" w:sz="8" w:space="0" w:color="000000"/>
            </w:tcBorders>
            <w:shd w:fill="D1DBE0" w:val="clear"/>
            <w:tcMar>
              <w:top w:w="0" w:type="dxa"/>
              <w:left w:w="0" w:type="dxa"/>
              <w:bottom w:w="3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E. Reconciliation of Net Income to Adjusted Bank Covenant EBITDA and Adjusted Bank Covenant EBITDA Ratio (provided on a trailing twelve month basis)</w:t>
      </w:r>
    </w:p>
    <w:tbl>
      <w:tblPr>
        <w:tblW w:w="10063" w:type="dxa"/>
        <w:jc w:val="left"/>
        <w:tblInd w:w="0" w:type="dxa"/>
        <w:tblLayout w:type="fixed"/>
        <w:tblCellMar>
          <w:top w:w="28" w:type="dxa"/>
          <w:left w:w="28" w:type="dxa"/>
          <w:bottom w:w="28" w:type="dxa"/>
          <w:right w:w="28" w:type="dxa"/>
        </w:tblCellMar>
      </w:tblPr>
      <w:tblGrid>
        <w:gridCol w:w="2730"/>
        <w:gridCol w:w="2397"/>
        <w:gridCol w:w="2415"/>
        <w:gridCol w:w="474"/>
        <w:gridCol w:w="1675"/>
        <w:gridCol w:w="372"/>
      </w:tblGrid>
      <w:tr>
        <w:trPr/>
        <w:tc>
          <w:tcPr>
            <w:tcW w:w="273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7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r>
      <w:tr>
        <w:trPr/>
        <w:tc>
          <w:tcPr>
            <w:tcW w:w="7542"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income</w:t>
            </w:r>
          </w:p>
        </w:tc>
        <w:tc>
          <w:tcPr>
            <w:tcW w:w="474"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67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98.0 </w:t>
            </w:r>
          </w:p>
        </w:tc>
        <w:tc>
          <w:tcPr>
            <w:tcW w:w="372"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Income tax expense</w:t>
            </w:r>
          </w:p>
        </w:tc>
        <w:tc>
          <w:tcPr>
            <w:tcW w:w="21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32.4 </w:t>
            </w:r>
          </w:p>
        </w:tc>
        <w:tc>
          <w:tcPr>
            <w:tcW w:w="37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Depreciation expense</w:t>
            </w:r>
          </w:p>
        </w:tc>
        <w:tc>
          <w:tcPr>
            <w:tcW w:w="2149"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109.8 </w:t>
            </w:r>
          </w:p>
        </w:tc>
        <w:tc>
          <w:tcPr>
            <w:tcW w:w="372"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expense</w:t>
            </w:r>
          </w:p>
        </w:tc>
        <w:tc>
          <w:tcPr>
            <w:tcW w:w="21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37.6 </w:t>
            </w:r>
          </w:p>
        </w:tc>
        <w:tc>
          <w:tcPr>
            <w:tcW w:w="37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Interest expense</w:t>
            </w:r>
          </w:p>
        </w:tc>
        <w:tc>
          <w:tcPr>
            <w:tcW w:w="2149"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67.7 </w:t>
            </w:r>
          </w:p>
        </w:tc>
        <w:tc>
          <w:tcPr>
            <w:tcW w:w="372"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Other adjustments</w:t>
            </w:r>
            <w:r>
              <w:rPr>
                <w:rFonts w:ascii="Times New Roman;serif" w:hAnsi="Times New Roman;serif"/>
                <w:b w:val="false"/>
                <w:color w:val="252525"/>
                <w:sz w:val="12"/>
              </w:rPr>
              <w:t>(*)</w:t>
            </w:r>
          </w:p>
        </w:tc>
        <w:tc>
          <w:tcPr>
            <w:tcW w:w="21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44.3 </w:t>
            </w:r>
          </w:p>
        </w:tc>
        <w:tc>
          <w:tcPr>
            <w:tcW w:w="37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bank covenant EBITDA</w:t>
            </w:r>
          </w:p>
        </w:tc>
        <w:tc>
          <w:tcPr>
            <w:tcW w:w="474"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w:t>
            </w:r>
          </w:p>
        </w:tc>
        <w:tc>
          <w:tcPr>
            <w:tcW w:w="167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389.8</w:t>
            </w:r>
            <w:r>
              <w:rPr>
                <w:color w:val="252525"/>
              </w:rPr>
              <w:t> </w:t>
            </w:r>
          </w:p>
        </w:tc>
        <w:tc>
          <w:tcPr>
            <w:tcW w:w="372"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Total debt, less cash, end of trailing period</w:t>
            </w:r>
          </w:p>
        </w:tc>
        <w:tc>
          <w:tcPr>
            <w:tcW w:w="474" w:type="dxa"/>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675"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1,071.4 </w:t>
            </w:r>
          </w:p>
        </w:tc>
        <w:tc>
          <w:tcPr>
            <w:tcW w:w="372" w:type="dxa"/>
            <w:tcBorders>
              <w:top w:val="doub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Net debt to adjusted bank covenant EBITDA ratio</w:t>
            </w:r>
          </w:p>
        </w:tc>
        <w:tc>
          <w:tcPr>
            <w:tcW w:w="2149"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2.75</w:t>
            </w:r>
            <w:r>
              <w:rPr>
                <w:color w:val="252525"/>
              </w:rPr>
              <w:t> </w:t>
            </w:r>
          </w:p>
        </w:tc>
        <w:tc>
          <w:tcPr>
            <w:tcW w:w="372" w:type="dxa"/>
            <w:tcBorders>
              <w:top w:val="single" w:sz="8" w:space="0" w:color="000000"/>
              <w:bottom w:val="double" w:sz="8" w:space="0" w:color="000000"/>
              <w:right w:val="single" w:sz="8" w:space="0" w:color="000000"/>
            </w:tcBorders>
            <w:shd w:fill="D1DBE0"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063" w:type="dxa"/>
            <w:gridSpan w:val="6"/>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6"/>
              </w:rPr>
            </w:pPr>
            <w:r>
              <w:rPr>
                <w:rFonts w:ascii="Times New Roman;serif" w:hAnsi="Times New Roman;serif"/>
                <w:b w:val="false"/>
                <w:color w:val="252525"/>
                <w:sz w:val="16"/>
              </w:rPr>
              <w:t>*Items indicated represent Non-GAAP measurements; see the reconciliations of Non-GAAP financial measures and related explanations above.</w:t>
            </w:r>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F. Organic Sales (Decline) Growth by Segment</w:t>
      </w:r>
    </w:p>
    <w:tbl>
      <w:tblPr>
        <w:tblW w:w="10205" w:type="dxa"/>
        <w:jc w:val="left"/>
        <w:tblInd w:w="0" w:type="dxa"/>
        <w:tblLayout w:type="fixed"/>
        <w:tblCellMar>
          <w:top w:w="28" w:type="dxa"/>
          <w:left w:w="28" w:type="dxa"/>
          <w:bottom w:w="28" w:type="dxa"/>
          <w:right w:w="28" w:type="dxa"/>
        </w:tblCellMar>
      </w:tblPr>
      <w:tblGrid>
        <w:gridCol w:w="1073"/>
        <w:gridCol w:w="856"/>
        <w:gridCol w:w="860"/>
        <w:gridCol w:w="435"/>
        <w:gridCol w:w="1237"/>
        <w:gridCol w:w="635"/>
        <w:gridCol w:w="398"/>
        <w:gridCol w:w="1133"/>
        <w:gridCol w:w="581"/>
        <w:gridCol w:w="276"/>
        <w:gridCol w:w="784"/>
        <w:gridCol w:w="403"/>
        <w:gridCol w:w="276"/>
        <w:gridCol w:w="784"/>
        <w:gridCol w:w="474"/>
      </w:tblGrid>
      <w:tr>
        <w:trPr/>
        <w:tc>
          <w:tcPr>
            <w:tcW w:w="107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16"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r>
      <w:tr>
        <w:trPr/>
        <w:tc>
          <w:tcPr>
            <w:tcW w:w="27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16" w:type="dxa"/>
            <w:gridSpan w:val="12"/>
            <w:tcBorders>
              <w:right w:val="single" w:sz="8" w:space="0" w:color="000000"/>
            </w:tcBorders>
            <w:tcMar>
              <w:top w:w="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North America Contract</w:t>
            </w:r>
          </w:p>
        </w:tc>
        <w:tc>
          <w:tcPr>
            <w:tcW w:w="21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International Contract</w:t>
            </w:r>
          </w:p>
        </w:tc>
        <w:tc>
          <w:tcPr>
            <w:tcW w:w="1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Global Retail</w:t>
            </w:r>
          </w:p>
        </w:tc>
        <w:tc>
          <w:tcPr>
            <w:tcW w:w="1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Total</w:t>
            </w:r>
          </w:p>
        </w:tc>
      </w:tr>
      <w:tr>
        <w:trPr/>
        <w:tc>
          <w:tcPr>
            <w:tcW w:w="278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 as reported</w:t>
            </w:r>
          </w:p>
        </w:tc>
        <w:tc>
          <w:tcPr>
            <w:tcW w:w="43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505.6 </w:t>
            </w:r>
          </w:p>
        </w:tc>
        <w:tc>
          <w:tcPr>
            <w:tcW w:w="63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156.8 </w:t>
            </w:r>
          </w:p>
        </w:tc>
        <w:tc>
          <w:tcPr>
            <w:tcW w:w="58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261.0 </w:t>
            </w:r>
          </w:p>
        </w:tc>
        <w:tc>
          <w:tcPr>
            <w:tcW w:w="40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923.4 </w:t>
            </w:r>
          </w:p>
        </w:tc>
        <w:tc>
          <w:tcPr>
            <w:tcW w:w="474"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 change from PY</w:t>
            </w:r>
          </w:p>
        </w:tc>
        <w:tc>
          <w:tcPr>
            <w:tcW w:w="1672"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w:t>
            </w:r>
          </w:p>
        </w:tc>
        <w:tc>
          <w:tcPr>
            <w:tcW w:w="6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5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(6.4)</w:t>
            </w:r>
          </w:p>
        </w:tc>
        <w:tc>
          <w:tcPr>
            <w:tcW w:w="5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2.6 </w:t>
            </w:r>
          </w:p>
        </w:tc>
        <w:tc>
          <w:tcPr>
            <w:tcW w:w="4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60"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(3.4)</w:t>
            </w:r>
          </w:p>
        </w:tc>
        <w:tc>
          <w:tcPr>
            <w:tcW w:w="474" w:type="dxa"/>
            <w:tcBorders>
              <w:top w:val="doub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r>
      <w:tr>
        <w:trPr/>
        <w:tc>
          <w:tcPr>
            <w:tcW w:w="278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230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1DBE0"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 xml:space="preserve">Currency translation effects </w:t>
            </w:r>
            <w:r>
              <w:rPr>
                <w:rFonts w:ascii="Times New Roman;serif" w:hAnsi="Times New Roman;serif"/>
                <w:b w:val="false"/>
                <w:color w:val="252525"/>
                <w:sz w:val="12"/>
              </w:rPr>
              <w:t>(1)</w:t>
            </w:r>
          </w:p>
        </w:tc>
        <w:tc>
          <w:tcPr>
            <w:tcW w:w="167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0.3 </w:t>
            </w:r>
          </w:p>
        </w:tc>
        <w:tc>
          <w:tcPr>
            <w:tcW w:w="63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0.3 </w:t>
            </w:r>
          </w:p>
        </w:tc>
        <w:tc>
          <w:tcPr>
            <w:tcW w:w="58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0.5 </w:t>
            </w:r>
          </w:p>
        </w:tc>
        <w:tc>
          <w:tcPr>
            <w:tcW w:w="40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1.1 </w:t>
            </w:r>
          </w:p>
        </w:tc>
        <w:tc>
          <w:tcPr>
            <w:tcW w:w="474"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 organic</w:t>
            </w:r>
          </w:p>
        </w:tc>
        <w:tc>
          <w:tcPr>
            <w:tcW w:w="43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505.9 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157.1 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261.5 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924.5 </w:t>
            </w:r>
          </w:p>
        </w:tc>
        <w:tc>
          <w:tcPr>
            <w:tcW w:w="47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Organic (Decline) Growth</w:t>
            </w:r>
          </w:p>
        </w:tc>
        <w:tc>
          <w:tcPr>
            <w:tcW w:w="16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(5.2)</w:t>
            </w:r>
          </w:p>
        </w:tc>
        <w:tc>
          <w:tcPr>
            <w:tcW w:w="635"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53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(6.2)</w:t>
            </w:r>
          </w:p>
        </w:tc>
        <w:tc>
          <w:tcPr>
            <w:tcW w:w="581"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2.8</w:t>
            </w:r>
            <w:r>
              <w:rPr>
                <w:color w:val="252525"/>
              </w:rPr>
              <w:t> </w:t>
            </w:r>
          </w:p>
        </w:tc>
        <w:tc>
          <w:tcPr>
            <w:tcW w:w="403"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(3.3)</w:t>
            </w:r>
          </w:p>
        </w:tc>
        <w:tc>
          <w:tcPr>
            <w:tcW w:w="474"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2"/>
            <w:tcBorders>
              <w:left w:val="single" w:sz="8" w:space="0" w:color="000000"/>
              <w:right w:val="single" w:sz="8" w:space="0" w:color="000000"/>
            </w:tcBorders>
            <w:tcMar>
              <w:top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North America Contract</w:t>
            </w:r>
          </w:p>
        </w:tc>
        <w:tc>
          <w:tcPr>
            <w:tcW w:w="21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International Contract</w:t>
            </w:r>
          </w:p>
        </w:tc>
        <w:tc>
          <w:tcPr>
            <w:tcW w:w="1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Global Retail</w:t>
            </w:r>
          </w:p>
        </w:tc>
        <w:tc>
          <w:tcPr>
            <w:tcW w:w="1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Total</w:t>
            </w:r>
          </w:p>
        </w:tc>
      </w:tr>
      <w:tr>
        <w:trPr/>
        <w:tc>
          <w:tcPr>
            <w:tcW w:w="278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Net sales, as reported</w:t>
            </w:r>
          </w:p>
        </w:tc>
        <w:tc>
          <w:tcPr>
            <w:tcW w:w="43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533.9 </w:t>
            </w:r>
          </w:p>
        </w:tc>
        <w:tc>
          <w:tcPr>
            <w:tcW w:w="63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167.5 </w:t>
            </w:r>
          </w:p>
        </w:tc>
        <w:tc>
          <w:tcPr>
            <w:tcW w:w="58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254.3 </w:t>
            </w:r>
          </w:p>
        </w:tc>
        <w:tc>
          <w:tcPr>
            <w:tcW w:w="40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955.7 </w:t>
            </w:r>
          </w:p>
        </w:tc>
        <w:tc>
          <w:tcPr>
            <w:tcW w:w="474"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0"/>
              </w:rPr>
              <w:t>(1)</w:t>
            </w:r>
            <w:r>
              <w:rPr>
                <w:color w:val="252525"/>
              </w:rPr>
              <w:t xml:space="preserve"> </w:t>
            </w:r>
            <w:r>
              <w:rPr>
                <w:rFonts w:ascii="Times New Roman;serif" w:hAnsi="Times New Roman;serif"/>
                <w:b w:val="false"/>
                <w:color w:val="252525"/>
                <w:sz w:val="16"/>
              </w:rPr>
              <w:t>Currency translation effects represent the estimated net impact of translating current period sales using the average exchange rates applicable to the comparable prior year period.</w:t>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G. Organic Order (Decline) Growth by Segment</w:t>
      </w:r>
    </w:p>
    <w:tbl>
      <w:tblPr>
        <w:tblW w:w="10205" w:type="dxa"/>
        <w:jc w:val="left"/>
        <w:tblInd w:w="0" w:type="dxa"/>
        <w:tblLayout w:type="fixed"/>
        <w:tblCellMar>
          <w:top w:w="28" w:type="dxa"/>
          <w:left w:w="28" w:type="dxa"/>
          <w:bottom w:w="28" w:type="dxa"/>
          <w:right w:w="28" w:type="dxa"/>
        </w:tblCellMar>
      </w:tblPr>
      <w:tblGrid>
        <w:gridCol w:w="1062"/>
        <w:gridCol w:w="865"/>
        <w:gridCol w:w="857"/>
        <w:gridCol w:w="434"/>
        <w:gridCol w:w="1236"/>
        <w:gridCol w:w="635"/>
        <w:gridCol w:w="398"/>
        <w:gridCol w:w="1133"/>
        <w:gridCol w:w="581"/>
        <w:gridCol w:w="276"/>
        <w:gridCol w:w="786"/>
        <w:gridCol w:w="404"/>
        <w:gridCol w:w="276"/>
        <w:gridCol w:w="786"/>
        <w:gridCol w:w="476"/>
      </w:tblGrid>
      <w:tr>
        <w:trPr/>
        <w:tc>
          <w:tcPr>
            <w:tcW w:w="10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21"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r>
      <w:tr>
        <w:trPr/>
        <w:tc>
          <w:tcPr>
            <w:tcW w:w="27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21" w:type="dxa"/>
            <w:gridSpan w:val="12"/>
            <w:tcBorders>
              <w:right w:val="single" w:sz="8" w:space="0" w:color="000000"/>
            </w:tcBorders>
            <w:tcMar>
              <w:top w:w="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North America Contract</w:t>
            </w:r>
          </w:p>
        </w:tc>
        <w:tc>
          <w:tcPr>
            <w:tcW w:w="21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International Contract</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Global Retail</w:t>
            </w:r>
          </w:p>
        </w:tc>
        <w:tc>
          <w:tcPr>
            <w:tcW w:w="15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Total</w:t>
            </w:r>
          </w:p>
        </w:tc>
      </w:tr>
      <w:tr>
        <w:trPr/>
        <w:tc>
          <w:tcPr>
            <w:tcW w:w="278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Orders, as reported</w:t>
            </w:r>
          </w:p>
        </w:tc>
        <w:tc>
          <w:tcPr>
            <w:tcW w:w="434"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483.7 </w:t>
            </w:r>
          </w:p>
        </w:tc>
        <w:tc>
          <w:tcPr>
            <w:tcW w:w="63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181.2 </w:t>
            </w:r>
          </w:p>
        </w:tc>
        <w:tc>
          <w:tcPr>
            <w:tcW w:w="58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249.0 </w:t>
            </w:r>
          </w:p>
        </w:tc>
        <w:tc>
          <w:tcPr>
            <w:tcW w:w="40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913.9 </w:t>
            </w:r>
          </w:p>
        </w:tc>
        <w:tc>
          <w:tcPr>
            <w:tcW w:w="476"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 change from PY</w:t>
            </w:r>
          </w:p>
        </w:tc>
        <w:tc>
          <w:tcPr>
            <w:tcW w:w="1670"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w:t>
            </w:r>
          </w:p>
        </w:tc>
        <w:tc>
          <w:tcPr>
            <w:tcW w:w="6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5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17.3 </w:t>
            </w:r>
          </w:p>
        </w:tc>
        <w:tc>
          <w:tcPr>
            <w:tcW w:w="5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4.3 </w:t>
            </w:r>
          </w:p>
        </w:tc>
        <w:tc>
          <w:tcPr>
            <w:tcW w:w="4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62"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3.2 </w:t>
            </w:r>
          </w:p>
        </w:tc>
        <w:tc>
          <w:tcPr>
            <w:tcW w:w="476" w:type="dxa"/>
            <w:tcBorders>
              <w:top w:val="doub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r>
      <w:tr>
        <w:trPr/>
        <w:tc>
          <w:tcPr>
            <w:tcW w:w="278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230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shd w:fill="D1DBE0"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 xml:space="preserve">Currency translation effects </w:t>
            </w:r>
            <w:r>
              <w:rPr>
                <w:rFonts w:ascii="Times New Roman;serif" w:hAnsi="Times New Roman;serif"/>
                <w:b w:val="false"/>
                <w:color w:val="252525"/>
                <w:sz w:val="12"/>
              </w:rPr>
              <w:t>(1)</w:t>
            </w:r>
          </w:p>
        </w:tc>
        <w:tc>
          <w:tcPr>
            <w:tcW w:w="1670"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0.4 </w:t>
            </w:r>
          </w:p>
        </w:tc>
        <w:tc>
          <w:tcPr>
            <w:tcW w:w="63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1.0 </w:t>
            </w:r>
          </w:p>
        </w:tc>
        <w:tc>
          <w:tcPr>
            <w:tcW w:w="58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0.9 </w:t>
            </w:r>
          </w:p>
        </w:tc>
        <w:tc>
          <w:tcPr>
            <w:tcW w:w="40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2.3 </w:t>
            </w:r>
          </w:p>
        </w:tc>
        <w:tc>
          <w:tcPr>
            <w:tcW w:w="476"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Orders, organic</w:t>
            </w:r>
          </w:p>
        </w:tc>
        <w:tc>
          <w:tcPr>
            <w:tcW w:w="4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484.1 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182.2 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249.9 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916.2 </w:t>
            </w:r>
          </w:p>
        </w:tc>
        <w:tc>
          <w:tcPr>
            <w:tcW w:w="47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Organic (Decline) Growth</w:t>
            </w:r>
          </w:p>
        </w:tc>
        <w:tc>
          <w:tcPr>
            <w:tcW w:w="167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(1.6)</w:t>
            </w:r>
          </w:p>
        </w:tc>
        <w:tc>
          <w:tcPr>
            <w:tcW w:w="635"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53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17.9</w:t>
            </w:r>
            <w:r>
              <w:rPr>
                <w:color w:val="252525"/>
              </w:rPr>
              <w:t> </w:t>
            </w:r>
          </w:p>
        </w:tc>
        <w:tc>
          <w:tcPr>
            <w:tcW w:w="581"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6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4.7</w:t>
            </w:r>
            <w:r>
              <w:rPr>
                <w:color w:val="252525"/>
              </w:rPr>
              <w:t> </w:t>
            </w:r>
          </w:p>
        </w:tc>
        <w:tc>
          <w:tcPr>
            <w:tcW w:w="404"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6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3.5</w:t>
            </w:r>
            <w:r>
              <w:rPr>
                <w:color w:val="252525"/>
              </w:rPr>
              <w:t> </w:t>
            </w:r>
          </w:p>
        </w:tc>
        <w:tc>
          <w:tcPr>
            <w:tcW w:w="476" w:type="dxa"/>
            <w:tcBorders>
              <w:top w:val="doub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21"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r>
      <w:tr>
        <w:trPr/>
        <w:tc>
          <w:tcPr>
            <w:tcW w:w="27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21" w:type="dxa"/>
            <w:gridSpan w:val="12"/>
            <w:tcBorders>
              <w:right w:val="single" w:sz="8" w:space="0" w:color="000000"/>
            </w:tcBorders>
            <w:tcMar>
              <w:top w:w="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North America Contract</w:t>
            </w:r>
          </w:p>
        </w:tc>
        <w:tc>
          <w:tcPr>
            <w:tcW w:w="21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International Contract</w:t>
            </w:r>
          </w:p>
        </w:tc>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Global Retail</w:t>
            </w:r>
          </w:p>
        </w:tc>
        <w:tc>
          <w:tcPr>
            <w:tcW w:w="15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Total</w:t>
            </w:r>
          </w:p>
        </w:tc>
      </w:tr>
      <w:tr>
        <w:trPr/>
        <w:tc>
          <w:tcPr>
            <w:tcW w:w="278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Orders, as reported</w:t>
            </w:r>
          </w:p>
        </w:tc>
        <w:tc>
          <w:tcPr>
            <w:tcW w:w="434"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23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492.2 </w:t>
            </w:r>
          </w:p>
        </w:tc>
        <w:tc>
          <w:tcPr>
            <w:tcW w:w="63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113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154.5 </w:t>
            </w:r>
          </w:p>
        </w:tc>
        <w:tc>
          <w:tcPr>
            <w:tcW w:w="58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238.7 </w:t>
            </w:r>
          </w:p>
        </w:tc>
        <w:tc>
          <w:tcPr>
            <w:tcW w:w="40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7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885.4 </w:t>
            </w:r>
          </w:p>
        </w:tc>
        <w:tc>
          <w:tcPr>
            <w:tcW w:w="476"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0"/>
              </w:rPr>
              <w:t>(1)</w:t>
            </w:r>
            <w:r>
              <w:rPr>
                <w:color w:val="252525"/>
              </w:rPr>
              <w:t xml:space="preserve"> </w:t>
            </w:r>
            <w:r>
              <w:rPr>
                <w:rFonts w:ascii="Times New Roman;serif" w:hAnsi="Times New Roman;serif"/>
                <w:b w:val="false"/>
                <w:color w:val="252525"/>
                <w:sz w:val="16"/>
              </w:rPr>
              <w:t>Currency translation effects represent the estimated net impact of translating current period orders using the average exchange rates applicable to the comparable prior year period.</w:t>
            </w:r>
          </w:p>
        </w:tc>
      </w:tr>
    </w:tbl>
    <w:p>
      <w:pPr>
        <w:pStyle w:val="TextBody"/>
        <w:bidi w:val="0"/>
        <w:spacing w:before="0" w:after="0"/>
        <w:jc w:val="both"/>
        <w:rPr/>
      </w:pPr>
      <w:r>
        <w:rPr/>
      </w:r>
    </w:p>
    <w:p>
      <w:pPr>
        <w:pStyle w:val="TextBody"/>
        <w:bidi w:val="0"/>
        <w:spacing w:before="0" w:after="0"/>
        <w:jc w:val="both"/>
        <w:rPr/>
      </w:pPr>
      <w:r>
        <w:rPr/>
      </w:r>
    </w:p>
    <w:tbl>
      <w:tblPr>
        <w:tblW w:w="21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H. Reconciliation of Effective Tax Rate to Adjusted Effective Tax Rate</w:t>
      </w:r>
    </w:p>
    <w:tbl>
      <w:tblPr>
        <w:tblW w:w="6143" w:type="dxa"/>
        <w:jc w:val="left"/>
        <w:tblInd w:w="0" w:type="dxa"/>
        <w:tblLayout w:type="fixed"/>
        <w:tblCellMar>
          <w:top w:w="28" w:type="dxa"/>
          <w:left w:w="28" w:type="dxa"/>
          <w:bottom w:w="28" w:type="dxa"/>
          <w:right w:w="28" w:type="dxa"/>
        </w:tblCellMar>
      </w:tblPr>
      <w:tblGrid>
        <w:gridCol w:w="1182"/>
        <w:gridCol w:w="1040"/>
        <w:gridCol w:w="1048"/>
        <w:gridCol w:w="270"/>
        <w:gridCol w:w="641"/>
        <w:gridCol w:w="394"/>
        <w:gridCol w:w="270"/>
        <w:gridCol w:w="641"/>
        <w:gridCol w:w="394"/>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610"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29, 2026</w:t>
            </w:r>
          </w:p>
        </w:tc>
        <w:tc>
          <w:tcPr>
            <w:tcW w:w="13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Income tax expense, as reported (GAAP)</w:t>
            </w:r>
          </w:p>
        </w:tc>
        <w:tc>
          <w:tcPr>
            <w:tcW w:w="270"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7.6 </w:t>
            </w:r>
          </w:p>
        </w:tc>
        <w:tc>
          <w:tcPr>
            <w:tcW w:w="39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7.6 </w:t>
            </w:r>
          </w:p>
        </w:tc>
        <w:tc>
          <w:tcPr>
            <w:tcW w:w="394"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Effective Tax Rate</w:t>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21.5 </w:t>
            </w:r>
          </w:p>
        </w:tc>
        <w:tc>
          <w:tcPr>
            <w:tcW w:w="39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26.5 </w:t>
            </w:r>
          </w:p>
        </w:tc>
        <w:tc>
          <w:tcPr>
            <w:tcW w:w="394" w:type="dxa"/>
            <w:tcBorders>
              <w:right w:val="single" w:sz="8" w:space="0" w:color="000000"/>
            </w:tcBorders>
            <w:shd w:fill="FFFFFF" w:val="clear"/>
            <w:tcMar>
              <w:top w:w="0" w:type="dxa"/>
              <w:left w:w="0" w:type="dxa"/>
              <w:bottom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u w:val="single"/>
              </w:rPr>
            </w:pPr>
            <w:r>
              <w:rPr>
                <w:rFonts w:ascii="Times New Roman;serif" w:hAnsi="Times New Roman;serif"/>
                <w:b w:val="false"/>
                <w:color w:val="252525"/>
                <w:sz w:val="18"/>
                <w:u w:val="single"/>
              </w:rPr>
              <w:t>Adjustments</w:t>
            </w:r>
          </w:p>
        </w:tc>
        <w:tc>
          <w:tcPr>
            <w:tcW w:w="130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Restructuring charges</w:t>
            </w:r>
          </w:p>
        </w:tc>
        <w:tc>
          <w:tcPr>
            <w:tcW w:w="270"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1.5 </w:t>
            </w:r>
          </w:p>
        </w:tc>
        <w:tc>
          <w:tcPr>
            <w:tcW w:w="39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shd w:fill="D1DBE0"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0.1 </w:t>
            </w:r>
          </w:p>
        </w:tc>
        <w:tc>
          <w:tcPr>
            <w:tcW w:w="394"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Amortization of Knoll purchased intangibles</w:t>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1.5 </w:t>
            </w:r>
          </w:p>
        </w:tc>
        <w:tc>
          <w:tcPr>
            <w:tcW w:w="39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CEO transition costs</w:t>
            </w:r>
          </w:p>
        </w:tc>
        <w:tc>
          <w:tcPr>
            <w:tcW w:w="91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0.4 </w:t>
            </w:r>
          </w:p>
        </w:tc>
        <w:tc>
          <w:tcPr>
            <w:tcW w:w="39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394"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Debt extinguishment charges</w:t>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2.0 </w:t>
            </w:r>
          </w:p>
        </w:tc>
        <w:tc>
          <w:tcPr>
            <w:tcW w:w="39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Income tax expense, adjusted</w:t>
            </w:r>
          </w:p>
        </w:tc>
        <w:tc>
          <w:tcPr>
            <w:tcW w:w="270"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10.8 </w:t>
            </w:r>
          </w:p>
        </w:tc>
        <w:tc>
          <w:tcPr>
            <w:tcW w:w="39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w:t>
            </w:r>
          </w:p>
        </w:tc>
        <w:tc>
          <w:tcPr>
            <w:tcW w:w="6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11.2 </w:t>
            </w:r>
          </w:p>
        </w:tc>
        <w:tc>
          <w:tcPr>
            <w:tcW w:w="394"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left w:val="single" w:sz="8" w:space="0" w:color="000000"/>
              <w:bottom w:val="single" w:sz="8" w:space="0" w:color="000000"/>
            </w:tcBorders>
            <w:shd w:fill="D1DBE0" w:val="clear"/>
            <w:tcMar>
              <w:top w:w="0" w:type="dxa"/>
              <w:bottom w:w="3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Adjusted Effective Tax Rate</w:t>
            </w:r>
          </w:p>
        </w:tc>
        <w:tc>
          <w:tcPr>
            <w:tcW w:w="911" w:type="dxa"/>
            <w:gridSpan w:val="2"/>
            <w:tcBorders>
              <w:left w:val="single" w:sz="8" w:space="0" w:color="000000"/>
              <w:bottom w:val="single" w:sz="8" w:space="0" w:color="000000"/>
            </w:tcBorders>
            <w:shd w:fill="D1DBE0" w:val="clear"/>
            <w:tcMar>
              <w:top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22.0</w:t>
            </w:r>
            <w:r>
              <w:rPr>
                <w:color w:val="252525"/>
              </w:rPr>
              <w:t> </w:t>
            </w:r>
          </w:p>
        </w:tc>
        <w:tc>
          <w:tcPr>
            <w:tcW w:w="394" w:type="dxa"/>
            <w:tcBorders>
              <w:bottom w:val="single" w:sz="8" w:space="0" w:color="000000"/>
            </w:tcBorders>
            <w:shd w:fill="D1DBE0" w:val="clear"/>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911" w:type="dxa"/>
            <w:gridSpan w:val="2"/>
            <w:tcBorders>
              <w:left w:val="single" w:sz="8" w:space="0" w:color="000000"/>
              <w:bottom w:val="single" w:sz="8" w:space="0" w:color="000000"/>
            </w:tcBorders>
            <w:shd w:fill="D1DBE0" w:val="clear"/>
            <w:tcMar>
              <w:top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26.0</w:t>
            </w:r>
            <w:r>
              <w:rPr>
                <w:color w:val="252525"/>
              </w:rPr>
              <w:t> </w:t>
            </w:r>
          </w:p>
        </w:tc>
        <w:tc>
          <w:tcPr>
            <w:tcW w:w="394" w:type="dxa"/>
            <w:tcBorders>
              <w:bottom w:val="single" w:sz="8" w:space="0" w:color="000000"/>
              <w:right w:val="single" w:sz="8" w:space="0" w:color="000000"/>
            </w:tcBorders>
            <w:shd w:fill="D1DBE0" w:val="clear"/>
            <w:tcMar>
              <w:top w:w="0" w:type="dxa"/>
              <w:left w:w="0" w:type="dxa"/>
              <w:bottom w:w="30" w:type="dxa"/>
            </w:tcMar>
            <w:vAlign w:val="center"/>
          </w:tcPr>
          <w:p>
            <w:pPr>
              <w:pStyle w:val="TableContents"/>
              <w:bidi w:val="0"/>
              <w:spacing w:lineRule="auto" w:line="312" w:before="0" w:after="283"/>
              <w:jc w:val="right"/>
              <w:rPr>
                <w:rFonts w:ascii="Times New Roman;serif" w:hAnsi="Times New Roman;serif"/>
                <w:b/>
                <w:color w:val="252525"/>
                <w:sz w:val="18"/>
              </w:rPr>
            </w:pPr>
            <w:r>
              <w:rPr>
                <w:rFonts w:ascii="Times New Roman;serif" w:hAnsi="Times New Roman;serif"/>
                <w:b/>
                <w:color w:val="252525"/>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0" w:after="60"/>
        <w:jc w:val="left"/>
        <w:rPr>
          <w:rFonts w:ascii="Times New Roman;serif" w:hAnsi="Times New Roman;serif"/>
          <w:b w:val="false"/>
          <w:i/>
          <w:color w:val="252525"/>
          <w:sz w:val="20"/>
        </w:rPr>
      </w:pPr>
      <w:r>
        <w:rPr>
          <w:rFonts w:ascii="Times New Roman;serif" w:hAnsi="Times New Roman;serif"/>
          <w:b w:val="false"/>
          <w:i/>
          <w:color w:val="252525"/>
          <w:sz w:val="20"/>
        </w:rPr>
        <w:t>I. Consolidated MillerKnoll Backlog</w:t>
      </w:r>
    </w:p>
    <w:tbl>
      <w:tblPr>
        <w:tblW w:w="3554" w:type="dxa"/>
        <w:jc w:val="left"/>
        <w:tblInd w:w="0" w:type="dxa"/>
        <w:tblLayout w:type="fixed"/>
        <w:tblCellMar>
          <w:top w:w="28" w:type="dxa"/>
          <w:left w:w="28" w:type="dxa"/>
          <w:bottom w:w="28" w:type="dxa"/>
          <w:right w:w="28" w:type="dxa"/>
        </w:tblCellMar>
      </w:tblPr>
      <w:tblGrid>
        <w:gridCol w:w="565"/>
        <w:gridCol w:w="497"/>
        <w:gridCol w:w="498"/>
        <w:gridCol w:w="324"/>
        <w:gridCol w:w="324"/>
        <w:gridCol w:w="326"/>
        <w:gridCol w:w="299"/>
        <w:gridCol w:w="299"/>
        <w:gridCol w:w="422"/>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Q1 FY2027</w:t>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Q1 FY2026</w:t>
            </w:r>
          </w:p>
        </w:tc>
      </w:tr>
      <w:tr>
        <w:trPr/>
        <w:tc>
          <w:tcPr>
            <w:tcW w:w="1560" w:type="dxa"/>
            <w:gridSpan w:val="3"/>
            <w:tcBorders>
              <w:top w:val="single" w:sz="8" w:space="0" w:color="000000"/>
              <w:left w:val="single" w:sz="8" w:space="0" w:color="000000"/>
              <w:bottom w:val="single" w:sz="8" w:space="0" w:color="000000"/>
            </w:tcBorders>
            <w:shd w:fill="D1DBE0" w:val="clear"/>
            <w:tcMar>
              <w:top w:w="3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MillerKnoll backlog</w:t>
            </w:r>
          </w:p>
        </w:tc>
        <w:tc>
          <w:tcPr>
            <w:tcW w:w="974" w:type="dxa"/>
            <w:gridSpan w:val="3"/>
            <w:tcBorders>
              <w:top w:val="single" w:sz="8" w:space="0" w:color="000000"/>
              <w:left w:val="single" w:sz="8" w:space="0" w:color="000000"/>
              <w:bottom w:val="single" w:sz="8" w:space="0" w:color="000000"/>
            </w:tcBorders>
            <w:shd w:fill="D1DBE0" w:val="clear"/>
            <w:tcMar>
              <w:top w:w="30"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$669.2</w:t>
            </w:r>
          </w:p>
        </w:tc>
        <w:tc>
          <w:tcPr>
            <w:tcW w:w="1020" w:type="dxa"/>
            <w:gridSpan w:val="3"/>
            <w:tcBorders>
              <w:top w:val="single" w:sz="8" w:space="0" w:color="000000"/>
              <w:left w:val="single" w:sz="8" w:space="0" w:color="000000"/>
              <w:right w:val="single" w:sz="8" w:space="0" w:color="000000"/>
            </w:tcBorders>
            <w:shd w:fill="D1DBE0" w:val="clear"/>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$690.9</w:t>
            </w:r>
          </w:p>
        </w:tc>
      </w:tr>
      <w:tr>
        <w:trPr/>
        <w:tc>
          <w:tcPr>
            <w:tcW w:w="25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Times New Roman;serif" w:hAnsi="Times New Roman;serif"/>
          <w:b w:val="false"/>
          <w:i/>
          <w:color w:val="252525"/>
          <w:sz w:val="20"/>
        </w:rPr>
      </w:pPr>
      <w:r>
        <w:rPr>
          <w:rFonts w:ascii="Times New Roman;serif" w:hAnsi="Times New Roman;serif"/>
          <w:b w:val="false"/>
          <w:i/>
          <w:color w:val="252525"/>
          <w:sz w:val="20"/>
        </w:rPr>
        <w:t>J. MillerKnoll Global Retail Segment Store Count</w:t>
      </w:r>
    </w:p>
    <w:p>
      <w:pPr>
        <w:pStyle w:val="TextBody"/>
        <w:bidi w:val="0"/>
        <w:spacing w:before="0" w:after="0"/>
        <w:jc w:val="both"/>
        <w:rPr/>
      </w:pPr>
      <w:r>
        <w:rPr/>
      </w:r>
    </w:p>
    <w:tbl>
      <w:tblPr>
        <w:tblW w:w="6939" w:type="dxa"/>
        <w:jc w:val="left"/>
        <w:tblInd w:w="0" w:type="dxa"/>
        <w:tblLayout w:type="fixed"/>
        <w:tblCellMar>
          <w:top w:w="28" w:type="dxa"/>
          <w:left w:w="28" w:type="dxa"/>
          <w:bottom w:w="28" w:type="dxa"/>
          <w:right w:w="28" w:type="dxa"/>
        </w:tblCellMar>
      </w:tblPr>
      <w:tblGrid>
        <w:gridCol w:w="739"/>
        <w:gridCol w:w="646"/>
        <w:gridCol w:w="654"/>
        <w:gridCol w:w="375"/>
        <w:gridCol w:w="376"/>
        <w:gridCol w:w="326"/>
        <w:gridCol w:w="285"/>
        <w:gridCol w:w="286"/>
        <w:gridCol w:w="266"/>
        <w:gridCol w:w="245"/>
        <w:gridCol w:w="245"/>
        <w:gridCol w:w="246"/>
        <w:gridCol w:w="375"/>
        <w:gridCol w:w="376"/>
        <w:gridCol w:w="326"/>
        <w:gridCol w:w="375"/>
        <w:gridCol w:w="376"/>
        <w:gridCol w:w="422"/>
      </w:tblGrid>
      <w:tr>
        <w:trPr/>
        <w:tc>
          <w:tcPr>
            <w:tcW w:w="7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Q4 FY2026</w:t>
            </w:r>
          </w:p>
        </w:tc>
        <w:tc>
          <w:tcPr>
            <w:tcW w:w="8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Openings</w:t>
            </w:r>
          </w:p>
        </w:tc>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Closings</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Q1 FY2027</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252525"/>
                <w:sz w:val="18"/>
              </w:rPr>
            </w:pPr>
            <w:r>
              <w:rPr>
                <w:rFonts w:ascii="Times New Roman;serif" w:hAnsi="Times New Roman;serif"/>
                <w:b w:val="false"/>
                <w:color w:val="252525"/>
                <w:sz w:val="18"/>
              </w:rPr>
              <w:t>Q1 FY2026</w:t>
            </w:r>
          </w:p>
        </w:tc>
      </w:tr>
      <w:tr>
        <w:trPr/>
        <w:tc>
          <w:tcPr>
            <w:tcW w:w="203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DWR Stores</w:t>
            </w:r>
          </w:p>
        </w:tc>
        <w:tc>
          <w:tcPr>
            <w:tcW w:w="751" w:type="dxa"/>
            <w:gridSpan w:val="2"/>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45 </w:t>
            </w:r>
          </w:p>
        </w:tc>
        <w:tc>
          <w:tcPr>
            <w:tcW w:w="3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1 </w:t>
            </w:r>
          </w:p>
        </w:tc>
        <w:tc>
          <w:tcPr>
            <w:tcW w:w="26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46 </w:t>
            </w:r>
          </w:p>
        </w:tc>
        <w:tc>
          <w:tcPr>
            <w:tcW w:w="3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41 </w:t>
            </w:r>
          </w:p>
        </w:tc>
        <w:tc>
          <w:tcPr>
            <w:tcW w:w="422"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DWR Outlets</w:t>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3 </w:t>
            </w:r>
          </w:p>
        </w:tc>
        <w:tc>
          <w:tcPr>
            <w:tcW w:w="42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1DBE0"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Herman Miller U.S. Stores</w:t>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30 </w:t>
            </w:r>
          </w:p>
        </w:tc>
        <w:tc>
          <w:tcPr>
            <w:tcW w:w="3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3 </w:t>
            </w:r>
          </w:p>
        </w:tc>
        <w:tc>
          <w:tcPr>
            <w:tcW w:w="2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33 </w:t>
            </w:r>
          </w:p>
        </w:tc>
        <w:tc>
          <w:tcPr>
            <w:tcW w:w="3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23 </w:t>
            </w:r>
          </w:p>
        </w:tc>
        <w:tc>
          <w:tcPr>
            <w:tcW w:w="422"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52525"/>
                <w:sz w:val="18"/>
              </w:rPr>
            </w:pPr>
            <w:r>
              <w:rPr>
                <w:rFonts w:ascii="Times New Roman;serif" w:hAnsi="Times New Roman;serif"/>
                <w:b w:val="false"/>
                <w:color w:val="252525"/>
                <w:sz w:val="18"/>
              </w:rPr>
              <w:t>Herman Miller Int'l Stores</w:t>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9 </w:t>
            </w:r>
          </w:p>
        </w:tc>
        <w:tc>
          <w:tcPr>
            <w:tcW w:w="42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1DBE0"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8"/>
              </w:rPr>
              <w:t xml:space="preserve">Other </w:t>
            </w:r>
            <w:r>
              <w:rPr>
                <w:rFonts w:ascii="Times New Roman;serif" w:hAnsi="Times New Roman;serif"/>
                <w:b w:val="false"/>
                <w:color w:val="252525"/>
                <w:sz w:val="12"/>
              </w:rPr>
              <w:t>(1)</w:t>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6 </w:t>
            </w:r>
          </w:p>
        </w:tc>
        <w:tc>
          <w:tcPr>
            <w:tcW w:w="3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6 </w:t>
            </w:r>
          </w:p>
        </w:tc>
        <w:tc>
          <w:tcPr>
            <w:tcW w:w="3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252525"/>
                <w:sz w:val="18"/>
              </w:rPr>
            </w:pPr>
            <w:r>
              <w:rPr>
                <w:rFonts w:ascii="Times New Roman;serif" w:hAnsi="Times New Roman;serif"/>
                <w:b w:val="false"/>
                <w:color w:val="252525"/>
                <w:sz w:val="18"/>
              </w:rPr>
              <w:t>6 </w:t>
            </w:r>
          </w:p>
        </w:tc>
        <w:tc>
          <w:tcPr>
            <w:tcW w:w="422"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Total Store Locations</w:t>
            </w:r>
          </w:p>
        </w:tc>
        <w:tc>
          <w:tcPr>
            <w:tcW w:w="75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93</w:t>
            </w:r>
            <w:r>
              <w:rPr>
                <w:color w:val="252525"/>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4</w:t>
            </w:r>
            <w:r>
              <w:rPr>
                <w:color w:val="252525"/>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97</w:t>
            </w:r>
            <w:r>
              <w:rPr>
                <w:color w:val="252525"/>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82</w:t>
            </w:r>
            <w:r>
              <w:rPr>
                <w:color w:val="252525"/>
              </w:rPr>
              <w:t> </w:t>
            </w:r>
          </w:p>
        </w:tc>
        <w:tc>
          <w:tcPr>
            <w:tcW w:w="42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252525"/>
                <w:sz w:val="18"/>
              </w:rPr>
            </w:pPr>
            <w:r>
              <w:rPr>
                <w:rFonts w:ascii="Times New Roman;serif" w:hAnsi="Times New Roman;serif"/>
                <w:b/>
                <w:color w:val="252525"/>
                <w:sz w:val="18"/>
              </w:rPr>
              <w:t>Total Square Footage</w:t>
            </w:r>
          </w:p>
        </w:tc>
        <w:tc>
          <w:tcPr>
            <w:tcW w:w="751"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577,366</w:t>
            </w:r>
            <w:r>
              <w:rPr>
                <w:color w:val="252525"/>
              </w:rPr>
              <w:t> </w:t>
            </w:r>
          </w:p>
        </w:tc>
        <w:tc>
          <w:tcPr>
            <w:tcW w:w="32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9,440</w:t>
            </w:r>
            <w:r>
              <w:rPr>
                <w:color w:val="252525"/>
              </w:rPr>
              <w:t> </w:t>
            </w:r>
          </w:p>
        </w:tc>
        <w:tc>
          <w:tcPr>
            <w:tcW w:w="26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color w:val="252525"/>
              </w:rPr>
            </w:pPr>
            <w:r>
              <w:rPr>
                <w:color w:val="252525"/>
              </w:rPr>
              <w:t>— </w:t>
            </w:r>
          </w:p>
        </w:tc>
        <w:tc>
          <w:tcPr>
            <w:tcW w:w="24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586,806</w:t>
            </w:r>
            <w:r>
              <w:rPr>
                <w:color w:val="252525"/>
              </w:rPr>
              <w:t> </w:t>
            </w:r>
          </w:p>
        </w:tc>
        <w:tc>
          <w:tcPr>
            <w:tcW w:w="32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bottom w:val="double" w:sz="8" w:space="0" w:color="000000"/>
            </w:tcBorders>
            <w:shd w:fill="D1DBE0" w:val="clear"/>
            <w:tcMar>
              <w:top w:w="3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252525"/>
                <w:sz w:val="18"/>
              </w:rPr>
              <w:t>534,437</w:t>
            </w:r>
            <w:r>
              <w:rPr>
                <w:color w:val="252525"/>
              </w:rPr>
              <w:t> </w:t>
            </w:r>
          </w:p>
        </w:tc>
        <w:tc>
          <w:tcPr>
            <w:tcW w:w="422" w:type="dxa"/>
            <w:tcBorders>
              <w:top w:val="single" w:sz="8" w:space="0" w:color="000000"/>
              <w:bottom w:val="double" w:sz="8" w:space="0" w:color="000000"/>
              <w:right w:val="single" w:sz="8" w:space="0" w:color="000000"/>
            </w:tcBorders>
            <w:shd w:fill="D1DBE0"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6939" w:type="dxa"/>
            <w:gridSpan w:val="1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252525"/>
                <w:sz w:val="12"/>
              </w:rPr>
              <w:t>(1)</w:t>
            </w:r>
            <w:r>
              <w:rPr>
                <w:color w:val="252525"/>
              </w:rPr>
              <w:t xml:space="preserve"> </w:t>
            </w:r>
            <w:r>
              <w:rPr>
                <w:rFonts w:ascii="Times New Roman;serif" w:hAnsi="Times New Roman;serif"/>
                <w:b w:val="false"/>
                <w:color w:val="252525"/>
                <w:sz w:val="18"/>
              </w:rPr>
              <w:t>Other includes Knoll, HAY, and Muuto.</w:t>
            </w:r>
          </w:p>
        </w:tc>
      </w:tr>
    </w:tbl>
    <w:p>
      <w:pPr>
        <w:pStyle w:val="TextBody"/>
        <w:bidi w:val="0"/>
        <w:spacing w:before="0" w:after="60"/>
        <w:jc w:val="left"/>
        <w:rPr/>
      </w:pPr>
      <w:r>
        <w:rPr/>
      </w:r>
    </w:p>
    <w:p>
      <w:pPr>
        <w:pStyle w:val="TextBody"/>
        <w:bidi w:val="0"/>
        <w:spacing w:before="0" w:after="0"/>
        <w:jc w:val="both"/>
        <w:rPr/>
      </w:pPr>
      <w:r>
        <w:rPr/>
      </w:r>
    </w:p>
    <w:p>
      <w:pPr>
        <w:pStyle w:val="TextBody"/>
        <w:bidi w:val="0"/>
        <w:spacing w:before="0" w:after="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2" w:before="0" w:after="60"/>
        <w:jc w:val="left"/>
        <w:rPr>
          <w:rFonts w:ascii="Times New Roman;serif" w:hAnsi="Times New Roman;serif"/>
          <w:b/>
          <w:color w:val="000000"/>
          <w:sz w:val="20"/>
        </w:rPr>
      </w:pPr>
      <w:r>
        <w:rPr>
          <w:rFonts w:ascii="Times New Roman;serif" w:hAnsi="Times New Roman;serif"/>
          <w:b/>
          <w:color w:val="000000"/>
          <w:sz w:val="20"/>
        </w:rPr>
        <w:t>About MillerKnoll</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MillerKnoll is a collective of dynamic brands that comes together to design the world we live in. MillerKnoll brand portfolio includes Herman Miller, Knoll, Colebrook Bosson Saunders, Design Within Reach, Edelman, FilzFelt, Geiger, HAY, Holly Hunt, Knoll Textiles, Maharam, Muuto, NaughtOne, and Spinneybeck. Guided by a shared purpose—design for the good of humankind—MillerKnoll generates insights, pioneers innovations, and champions ideas to better align spaces with how people live, work, and gather. For more information, visit millerknoll.com.</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includes forward-looking statements within the meaning of Section 27A of the Securities Act of 1933 and Section 21E of the Securities Exchange Act of 1934. Forward-looking statements include, but are not limited to, statements relating to the Company's expected financial performance for the second quarter and full year of fiscal 2027, expected impacts from tariffs and pricing actions, expected store openings, projected capital expenditures, and other statements regarding future events, anticipated results of operations, our expectations regarding future market conditions, our business strategies, our assessment of risks we face, and other aspects of our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our results of operations or financial condition or the price of our stock. These forward-looking statements involve certain risks and uncertainties, many of which are beyond our control, that could cause actual results to differ materially from those indicated in such forward-looking statements, including, but not limited to:</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The effects of the ongoing conflict in the Middle East and broader geopolitical instability, including with respect to negative impacts on our supply chain, decreased sales within the region or beyond due to supply chain constraints or other factors, energy prices, and broader inflationary and macroeconomic effects;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Changes to U.S. and international trade policies, including new or increased tariffs, developments relating to tariff refunds (including the risk of clawback or reversal or tariff refunds or the discontinuation of any additional tariff refunds), and changing import/export regulations, which impact both the cost and availability of materials and components used to manufacture our products as well as demand for our products;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Challenges in implementing our growth strategy and the possibility that the assumptions on which that strategy was built prove inaccurate;</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Consumer spending levels, which have a significant impact on demand for our products within our Global Retail segment;</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Global and national economic conditions such as heightened inflation, uncertainty regarding future interest rates, foreign currency exchange rate fluctuations, geopolitical instability, and potential governmental responses to these events;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Transition in the Company's executive leadership, which may result in changes to our strategy or operations;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Cybersecurity threats and risks;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Public health crises, such as pandemics and epidemics, and governmental policies and actions to protect the health and safety of individuals or to maintain the functioning of national or global economies;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Risks related to the additional debt incurred in connection with our acquisition of Knoll, including increased interest expense, our ability to comply with our debt covenants and obligations, and limitations on certain business activities imposed by our credit agreement;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Availability and pricing of raw materials;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Financial strength of our dealers and customers;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Pace and level of government procurement; and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Outcome of pending litigation or governmental audits or investigations. </w:t>
      </w:r>
    </w:p>
    <w:p>
      <w:pPr>
        <w:pStyle w:val="TextBody"/>
        <w:bidi w:val="0"/>
        <w:spacing w:before="0" w:after="0"/>
        <w:jc w:val="both"/>
        <w:rPr/>
      </w:pPr>
      <w:r>
        <w:rPr/>
      </w:r>
    </w:p>
    <w:p>
      <w:pPr>
        <w:pStyle w:val="TextBody"/>
        <w:bidi w:val="0"/>
        <w:spacing w:lineRule="auto" w:line="312"/>
        <w:jc w:val="both"/>
        <w:rPr>
          <w:rFonts w:ascii="Times New Roman;serif" w:hAnsi="Times New Roman;serif"/>
          <w:b w:val="false"/>
          <w:color w:val="000000"/>
          <w:sz w:val="20"/>
        </w:rPr>
      </w:pPr>
      <w:r>
        <w:rPr>
          <w:rFonts w:ascii="Times New Roman;serif" w:hAnsi="Times New Roman;serif"/>
          <w:b w:val="false"/>
          <w:color w:val="000000"/>
          <w:sz w:val="20"/>
        </w:rPr>
        <w:t>The foregoing list of important factors is not exhaustive. For additional information about other factors that could cause actual results to differ materially from those described in the forward-looking statements, please refer to MillerKnoll’s periodic reports and other filings with the SEC, including the risk factors identified in MillerKnoll’s most recent Annual Report on Form 10-K for the fiscal year ended May 30, 2026, as updated by subsequent Quarterly Reports on Form 10-Q. The forward-looking statements included in this communication are made only as of the date hereof. MillerKnoll does not undertake any obligation to update any forward-looking statements to reflect subsequent events, new information, or changes in circumstances,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4737</Words>
  <Characters>26635</Characters>
  <CharactersWithSpaces>30778</CharactersWithSpaces>
  <Paragraphs>1096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