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417"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12, 2026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MillerKnoll,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9104" w:type="dxa"/>
        <w:jc w:val="center"/>
        <w:tblInd w:w="0" w:type="dxa"/>
        <w:tblLayout w:type="fixed"/>
        <w:tblCellMar>
          <w:top w:w="28" w:type="dxa"/>
          <w:left w:w="28" w:type="dxa"/>
          <w:bottom w:w="28" w:type="dxa"/>
          <w:right w:w="28" w:type="dxa"/>
        </w:tblCellMar>
      </w:tblPr>
      <w:tblGrid>
        <w:gridCol w:w="1560"/>
        <w:gridCol w:w="1370"/>
        <w:gridCol w:w="1390"/>
        <w:gridCol w:w="687"/>
        <w:gridCol w:w="687"/>
        <w:gridCol w:w="695"/>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Michigan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001-15141</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38-0837640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855 East Main Avenue, Zeeland, MI 49464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(616) 654-3000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417" w:before="0" w:after="20"/>
        <w:jc w:val="both"/>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417" w:before="0" w:after="20"/>
        <w:jc w:val="both"/>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417" w:before="0" w:after="20"/>
        <w:jc w:val="both"/>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$0.20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MLKN</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60"/>
        <w:ind w:left="0" w:right="0" w:hanging="144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 Compensatory Arrangements of Certain Officers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 the annual meeting of shareholders of MillerKnoll, Inc. (the “Company”) held on October 12, 2026, the Company’s shareholders approved the MillerKnoll, Inc. 2026 Long-Term Incentive Plan (the “Plan”). The Plan replaces the Company’s existing Long-Term Incentive Plan approved by shareholders in 2025. The Plan provides for the grant of a variety of equity-based awards, such as stock options, stock appreciation rights, restricted stock and restricted stock units, performance stock units, and other stock-based awards. The Plan authorizes awards to non-employee directors and all employees of the Company or its subsidiaries, including named executive officers. Subject to certain adjustments, the maximum number of shares that may be </w:t>
      </w:r>
      <w:r>
        <w:rPr>
          <w:rFonts w:ascii="Times New Roman;serif" w:hAnsi="Times New Roman;serif"/>
          <w:b w:val="false"/>
          <w:color w:val="000000"/>
          <w:sz w:val="20"/>
          <w:shd w:fill="FFFFFF" w:val="clear"/>
        </w:rPr>
        <w:t>issued under the Plan is 23,964,945 shares.</w:t>
      </w:r>
      <w:r>
        <w:rPr>
          <w:color w:val="000000"/>
        </w:rPr>
        <w:t xml:space="preserve"> </w:t>
      </w:r>
      <w:r>
        <w:rPr>
          <w:rFonts w:ascii="Times New Roman;serif" w:hAnsi="Times New Roman;serif"/>
          <w:b w:val="false"/>
          <w:color w:val="000000"/>
          <w:sz w:val="20"/>
        </w:rPr>
        <w:t>A copy of the Plan was attached as Appendix B to the Company’s proxy statement filed with the SEC on August 28,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meeting of the shareholders of the Company was held on October 12, 2026, at which the matters listed below were submitted to a vote of the shareholders through the solicitation of proxies. The proposals are described in the Company's proxy statement, filed with the SEC on August 28, 2026. The voting results are as follows: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(1)</w:t>
      </w:r>
      <w:r>
        <w:rPr>
          <w:color w:val="000000"/>
        </w:rPr>
        <w:t xml:space="preserve"> </w:t>
      </w:r>
      <w:r>
        <w:rPr>
          <w:rFonts w:ascii="Times New Roman;serif" w:hAnsi="Times New Roman;serif"/>
          <w:b w:val="false"/>
          <w:color w:val="000000"/>
          <w:sz w:val="20"/>
        </w:rPr>
        <w:t>The following nominees were elected to serve three-year terms on the Company's Board of Directors by the following votes:</w:t>
      </w:r>
    </w:p>
    <w:p>
      <w:pPr>
        <w:pStyle w:val="TextBody"/>
        <w:bidi w:val="0"/>
        <w:spacing w:before="0" w:after="0"/>
        <w:jc w:val="both"/>
        <w:rPr/>
      </w:pPr>
      <w:r>
        <w:rPr/>
      </w:r>
    </w:p>
    <w:tbl>
      <w:tblPr>
        <w:tblW w:w="6127" w:type="dxa"/>
        <w:jc w:val="left"/>
        <w:tblInd w:w="0" w:type="dxa"/>
        <w:tblLayout w:type="fixed"/>
        <w:tblCellMar>
          <w:top w:w="28" w:type="dxa"/>
          <w:left w:w="28" w:type="dxa"/>
          <w:bottom w:w="28" w:type="dxa"/>
          <w:right w:w="28" w:type="dxa"/>
        </w:tblCellMar>
      </w:tblPr>
      <w:tblGrid>
        <w:gridCol w:w="564"/>
        <w:gridCol w:w="496"/>
        <w:gridCol w:w="500"/>
        <w:gridCol w:w="109"/>
        <w:gridCol w:w="109"/>
        <w:gridCol w:w="109"/>
        <w:gridCol w:w="344"/>
        <w:gridCol w:w="344"/>
        <w:gridCol w:w="348"/>
        <w:gridCol w:w="109"/>
        <w:gridCol w:w="109"/>
        <w:gridCol w:w="109"/>
        <w:gridCol w:w="309"/>
        <w:gridCol w:w="309"/>
        <w:gridCol w:w="313"/>
        <w:gridCol w:w="109"/>
        <w:gridCol w:w="109"/>
        <w:gridCol w:w="109"/>
        <w:gridCol w:w="473"/>
        <w:gridCol w:w="473"/>
        <w:gridCol w:w="673"/>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Jeanne K. Gang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57,569,433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1,541,099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5,807,699</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57,337,444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1,773,088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5,807,699</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Claire F. Spofford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58,554,625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555,907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5,807,699</w:t>
            </w:r>
          </w:p>
        </w:tc>
      </w:tr>
    </w:tbl>
    <w:p>
      <w:pPr>
        <w:pStyle w:val="TextBody"/>
        <w:bidi w:val="0"/>
        <w:spacing w:before="0" w:after="0"/>
        <w:jc w:val="left"/>
        <w:rPr/>
      </w:pPr>
      <w:r>
        <w:rPr/>
      </w:r>
    </w:p>
    <w:p>
      <w:pPr>
        <w:pStyle w:val="TextBody"/>
        <w:bidi w:val="0"/>
        <w:spacing w:lineRule="auto" w:line="345" w:before="0" w:after="0"/>
        <w:jc w:val="left"/>
        <w:rPr/>
      </w:pPr>
      <w:r>
        <w:rPr>
          <w:rFonts w:ascii="Times New Roman;serif" w:hAnsi="Times New Roman;serif"/>
          <w:b/>
          <w:color w:val="000000"/>
          <w:sz w:val="20"/>
        </w:rPr>
        <w:t>(2)</w:t>
      </w:r>
      <w:r>
        <w:rPr>
          <w:color w:val="000000"/>
        </w:rPr>
        <w:t xml:space="preserve"> </w:t>
      </w:r>
      <w:r>
        <w:rPr>
          <w:rFonts w:ascii="Times New Roman;serif" w:hAnsi="Times New Roman;serif"/>
          <w:b w:val="false"/>
          <w:color w:val="000000"/>
          <w:sz w:val="20"/>
        </w:rPr>
        <w:t>The compensation paid to the Company's named executive officers was approved on an advisory basis by the following votes:</w:t>
      </w:r>
    </w:p>
    <w:tbl>
      <w:tblPr>
        <w:tblW w:w="5363"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9"/>
        <w:gridCol w:w="259"/>
        <w:gridCol w:w="263"/>
        <w:gridCol w:w="109"/>
        <w:gridCol w:w="109"/>
        <w:gridCol w:w="109"/>
        <w:gridCol w:w="473"/>
        <w:gridCol w:w="473"/>
        <w:gridCol w:w="67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57,535,678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1,455,964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5,807,699</w:t>
            </w:r>
          </w:p>
        </w:tc>
      </w:tr>
    </w:tbl>
    <w:p>
      <w:pPr>
        <w:pStyle w:val="TextBody"/>
        <w:bidi w:val="0"/>
        <w:spacing w:before="0" w:after="0"/>
        <w:jc w:val="left"/>
        <w:rPr/>
      </w:pPr>
      <w:r>
        <w:rPr/>
      </w:r>
    </w:p>
    <w:p>
      <w:pPr>
        <w:pStyle w:val="TextBody"/>
        <w:bidi w:val="0"/>
        <w:spacing w:lineRule="auto" w:line="345" w:before="0" w:after="0"/>
        <w:jc w:val="left"/>
        <w:rPr/>
      </w:pPr>
      <w:r>
        <w:rPr>
          <w:rFonts w:ascii="Times New Roman;serif" w:hAnsi="Times New Roman;serif"/>
          <w:b/>
          <w:color w:val="000000"/>
          <w:sz w:val="20"/>
        </w:rPr>
        <w:t>(3)</w:t>
      </w:r>
      <w:r>
        <w:rPr>
          <w:color w:val="000000"/>
        </w:rPr>
        <w:t xml:space="preserve"> </w:t>
      </w:r>
      <w:r>
        <w:rPr>
          <w:rFonts w:ascii="Times New Roman;serif" w:hAnsi="Times New Roman;serif"/>
          <w:b w:val="false"/>
          <w:color w:val="000000"/>
          <w:sz w:val="20"/>
        </w:rPr>
        <w:t>The appointment of KPMG LLP as the Company’s independent registered public accounting firm for the fiscal year ending May 29, 2027, was ratified by the following votes:</w:t>
      </w:r>
    </w:p>
    <w:p>
      <w:pPr>
        <w:pStyle w:val="TextBody"/>
        <w:bidi w:val="0"/>
        <w:spacing w:before="0" w:after="0"/>
        <w:jc w:val="left"/>
        <w:rPr/>
      </w:pPr>
      <w:r>
        <w:rPr/>
      </w:r>
    </w:p>
    <w:tbl>
      <w:tblPr>
        <w:tblW w:w="5183"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259"/>
        <w:gridCol w:w="259"/>
        <w:gridCol w:w="263"/>
        <w:gridCol w:w="109"/>
        <w:gridCol w:w="109"/>
        <w:gridCol w:w="109"/>
        <w:gridCol w:w="250"/>
        <w:gridCol w:w="250"/>
        <w:gridCol w:w="251"/>
        <w:gridCol w:w="109"/>
        <w:gridCol w:w="109"/>
        <w:gridCol w:w="109"/>
        <w:gridCol w:w="473"/>
        <w:gridCol w:w="473"/>
        <w:gridCol w:w="67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64,449,678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405,676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62,877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left"/>
        <w:rPr/>
      </w:pPr>
      <w:r>
        <w:rPr/>
      </w:r>
    </w:p>
    <w:p>
      <w:pPr>
        <w:pStyle w:val="TextBody"/>
        <w:bidi w:val="0"/>
        <w:spacing w:lineRule="auto" w:line="345" w:before="0" w:after="0"/>
        <w:jc w:val="both"/>
        <w:rPr/>
      </w:pPr>
      <w:r>
        <w:rPr>
          <w:rFonts w:ascii="Times New Roman;serif" w:hAnsi="Times New Roman;serif"/>
          <w:b/>
          <w:color w:val="000000"/>
          <w:sz w:val="20"/>
        </w:rPr>
        <w:t>(4)</w:t>
      </w:r>
      <w:r>
        <w:rPr>
          <w:color w:val="000000"/>
        </w:rPr>
        <w:t xml:space="preserve"> </w:t>
      </w:r>
      <w:r>
        <w:rPr>
          <w:rFonts w:ascii="Times New Roman;serif" w:hAnsi="Times New Roman;serif"/>
          <w:b w:val="false"/>
          <w:color w:val="000000"/>
          <w:sz w:val="20"/>
        </w:rPr>
        <w:t>The approval of the MillerKnoll, Inc. 2026 Long-Term Incentive Plan by the following votes:</w:t>
      </w:r>
    </w:p>
    <w:p>
      <w:pPr>
        <w:pStyle w:val="TextBody"/>
        <w:bidi w:val="0"/>
        <w:spacing w:before="0" w:after="0"/>
        <w:jc w:val="both"/>
        <w:rPr/>
      </w:pPr>
      <w:r>
        <w:rPr/>
      </w:r>
    </w:p>
    <w:tbl>
      <w:tblPr>
        <w:tblW w:w="5363"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9"/>
        <w:gridCol w:w="259"/>
        <w:gridCol w:w="263"/>
        <w:gridCol w:w="109"/>
        <w:gridCol w:w="109"/>
        <w:gridCol w:w="109"/>
        <w:gridCol w:w="473"/>
        <w:gridCol w:w="473"/>
        <w:gridCol w:w="673"/>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50,343,262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8,653,283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5,807,699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pPr>
      <w:r>
        <w:rPr>
          <w:rFonts w:ascii="Times New Roman;serif" w:hAnsi="Times New Roman;serif"/>
          <w:b w:val="false"/>
          <w:color w:val="000000"/>
          <w:sz w:val="20"/>
          <w:u w:val="single"/>
        </w:rPr>
        <w:t>SIGNATURE</w:t>
      </w:r>
      <w:r>
        <w:rPr>
          <w:color w:val="000000"/>
        </w:rPr>
        <w:t xml:space="preserve"> </w:t>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110"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235"/>
        <w:gridCol w:w="235"/>
        <w:gridCol w:w="235"/>
        <w:gridCol w:w="583"/>
        <w:gridCol w:w="583"/>
        <w:gridCol w:w="8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October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Kevin J. Veltman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Veltman</w:t>
              <w:br/>
              <w:t>Chief Financial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2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4061</Characters>
  <CharactersWithSpaces>4691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