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210185</wp:posOffset>
            </wp:positionH>
            <wp:positionV relativeFrom="page">
              <wp:posOffset>417195</wp:posOffset>
            </wp:positionV>
            <wp:extent cx="7127875" cy="1178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7875" cy="1178560"/>
                    </a:xfrm>
                    <a:prstGeom prst="rect">
                      <a:avLst/>
                    </a:prstGeom>
                    <a:noFill/>
                  </pic:spPr>
                </pic:pic>
              </a:graphicData>
            </a:graphic>
          </wp:anchor>
        </w:drawing>
        <w:t>Filed by Herman Miller, Inc.</w:t>
      </w:r>
    </w:p>
    <w:p>
      <w:pPr>
        <w:spacing w:after="0" w:line="23" w:lineRule="exact"/>
        <w:rPr>
          <w:sz w:val="24"/>
          <w:szCs w:val="24"/>
          <w:color w:val="auto"/>
        </w:rPr>
      </w:pPr>
    </w:p>
    <w:p>
      <w:pPr>
        <w:jc w:val="right"/>
        <w:ind w:right="60"/>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ind w:right="60"/>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ind w:right="6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right"/>
        <w:ind w:right="60"/>
        <w:spacing w:after="0"/>
        <w:rPr>
          <w:sz w:val="20"/>
          <w:szCs w:val="20"/>
          <w:color w:val="auto"/>
        </w:rPr>
      </w:pPr>
      <w:r>
        <w:rPr>
          <w:rFonts w:ascii="Arial" w:cs="Arial" w:eastAsia="Arial" w:hAnsi="Arial"/>
          <w:sz w:val="18"/>
          <w:szCs w:val="18"/>
          <w:color w:val="auto"/>
        </w:rPr>
        <w:t>Subject Company: Knoll, Inc.</w:t>
      </w:r>
    </w:p>
    <w:p>
      <w:pPr>
        <w:spacing w:after="0" w:line="23" w:lineRule="exact"/>
        <w:rPr>
          <w:sz w:val="24"/>
          <w:szCs w:val="24"/>
          <w:color w:val="auto"/>
        </w:rPr>
      </w:pPr>
    </w:p>
    <w:p>
      <w:pPr>
        <w:jc w:val="right"/>
        <w:ind w:right="60"/>
        <w:spacing w:after="0"/>
        <w:rPr>
          <w:sz w:val="20"/>
          <w:szCs w:val="20"/>
          <w:color w:val="auto"/>
        </w:rPr>
      </w:pPr>
      <w:r>
        <w:rPr>
          <w:rFonts w:ascii="Arial" w:cs="Arial" w:eastAsia="Arial" w:hAnsi="Arial"/>
          <w:sz w:val="18"/>
          <w:szCs w:val="18"/>
          <w:color w:val="auto"/>
        </w:rPr>
        <w:t xml:space="preserve">Commission File No.: </w:t>
      </w:r>
      <w:r>
        <w:rPr>
          <w:rFonts w:ascii="Arial" w:cs="Arial" w:eastAsia="Arial" w:hAnsi="Arial"/>
          <w:sz w:val="18"/>
          <w:szCs w:val="18"/>
          <w:color w:val="231F20"/>
        </w:rPr>
        <w:t>001-12907</w:t>
      </w:r>
    </w:p>
    <w:p>
      <w:pPr>
        <w:spacing w:after="0" w:line="9" w:lineRule="exact"/>
        <w:rPr>
          <w:sz w:val="24"/>
          <w:szCs w:val="24"/>
          <w:color w:val="auto"/>
        </w:rPr>
      </w:pPr>
    </w:p>
    <w:p>
      <w:pPr>
        <w:jc w:val="right"/>
        <w:ind w:right="60"/>
        <w:spacing w:after="0"/>
        <w:rPr>
          <w:sz w:val="20"/>
          <w:szCs w:val="20"/>
          <w:color w:val="auto"/>
        </w:rPr>
      </w:pPr>
      <w:r>
        <w:rPr>
          <w:rFonts w:ascii="Arial" w:cs="Arial" w:eastAsia="Arial" w:hAnsi="Arial"/>
          <w:sz w:val="18"/>
          <w:szCs w:val="18"/>
          <w:color w:val="auto"/>
        </w:rPr>
        <w:t>Date: May 4, 2021</w:t>
      </w:r>
    </w:p>
    <w:p>
      <w:pPr>
        <w:spacing w:after="0" w:line="298" w:lineRule="exact"/>
        <w:rPr>
          <w:sz w:val="24"/>
          <w:szCs w:val="24"/>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following correspondence was sent by Herman Miller, Inc. to its architects and designers.</w:t>
      </w:r>
      <w:r>
        <w:rPr>
          <w:rFonts w:ascii="Arial" w:cs="Arial" w:eastAsia="Arial" w:hAnsi="Arial"/>
          <w:sz w:val="22"/>
          <w:szCs w:val="22"/>
          <w:color w:val="auto"/>
        </w:rPr>
        <w:t>]</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Herman Miller and Knoll to Combine</w:t>
      </w:r>
    </w:p>
    <w:p>
      <w:pPr>
        <w:spacing w:after="0" w:line="246"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Creating the preeminent leader in modern design</w:t>
      </w:r>
    </w:p>
    <w:p>
      <w:pPr>
        <w:spacing w:after="0" w:line="23"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Catalyzing the transformation of the home and office</w:t>
      </w:r>
    </w:p>
    <w:p>
      <w:pPr>
        <w:spacing w:after="0" w:line="231" w:lineRule="exact"/>
        <w:rPr>
          <w:sz w:val="24"/>
          <w:szCs w:val="24"/>
          <w:color w:val="auto"/>
        </w:rPr>
      </w:pPr>
    </w:p>
    <w:p>
      <w:pPr>
        <w:jc w:val="both"/>
        <w:ind w:right="160"/>
        <w:spacing w:after="0"/>
        <w:rPr>
          <w:sz w:val="20"/>
          <w:szCs w:val="20"/>
          <w:color w:val="auto"/>
        </w:rPr>
      </w:pPr>
      <w:r>
        <w:rPr>
          <w:rFonts w:ascii="Arial" w:cs="Arial" w:eastAsia="Arial" w:hAnsi="Arial"/>
          <w:sz w:val="22"/>
          <w:szCs w:val="22"/>
          <w:color w:val="auto"/>
        </w:rPr>
        <w:t>In a truly historic and exciting moment for our industry, Herman Miller and Knoll recently announced that we will combine our two companies to create the preeminent leader in modern design. You can read more about our agreement in the press release or by visiting the website: NewLeaderinModernDesign.com</w:t>
      </w:r>
    </w:p>
    <w:p>
      <w:pPr>
        <w:spacing w:after="0" w:line="20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A Partnership Decades in the Making</w:t>
      </w:r>
    </w:p>
    <w:p>
      <w:pPr>
        <w:spacing w:after="0" w:line="239" w:lineRule="exact"/>
        <w:rPr>
          <w:sz w:val="24"/>
          <w:szCs w:val="24"/>
          <w:color w:val="auto"/>
        </w:rPr>
      </w:pPr>
    </w:p>
    <w:p>
      <w:pPr>
        <w:spacing w:after="0" w:line="246" w:lineRule="auto"/>
        <w:rPr>
          <w:sz w:val="20"/>
          <w:szCs w:val="20"/>
          <w:color w:val="auto"/>
        </w:rPr>
      </w:pPr>
      <w:r>
        <w:rPr>
          <w:rFonts w:ascii="Arial" w:cs="Arial" w:eastAsia="Arial" w:hAnsi="Arial"/>
          <w:sz w:val="21"/>
          <w:szCs w:val="21"/>
          <w:color w:val="auto"/>
        </w:rPr>
        <w:t>Throughout our unique histories, Herman Miller and Knoll have shared a rich design legacy and a belief in the power of design to shape the way we live and work. Charles Eames, Ray Kaiser, Eero Saarinen, and Florence Schust were students, design partners, and friends when they studied together at the Cranbrook Academy of Art. They went on to play foundational roles in shaping American modernist design as well as both Herman Miller and Knoll. To this day, our two companies continue to share relationships with some of the brightest design minds in the world who are tackling the challenges of creating adaptive, responsive workplace and residential products that contribute to our well-being. As we take this next step together, we are as committed as ever to building upon our design legacy through deep and long-lasting partnerships with both product designers and interior designers and architects around the world.</w:t>
      </w:r>
    </w:p>
    <w:p>
      <w:pPr>
        <w:spacing w:after="0" w:line="20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The Time is Right</w:t>
      </w:r>
    </w:p>
    <w:p>
      <w:pPr>
        <w:spacing w:after="0" w:line="239" w:lineRule="exact"/>
        <w:rPr>
          <w:sz w:val="24"/>
          <w:szCs w:val="24"/>
          <w:color w:val="auto"/>
        </w:rPr>
      </w:pPr>
    </w:p>
    <w:p>
      <w:pPr>
        <w:spacing w:after="0" w:line="287" w:lineRule="auto"/>
        <w:rPr>
          <w:sz w:val="20"/>
          <w:szCs w:val="20"/>
          <w:color w:val="auto"/>
        </w:rPr>
      </w:pPr>
      <w:r>
        <w:rPr>
          <w:rFonts w:ascii="Arial" w:cs="Arial" w:eastAsia="Arial" w:hAnsi="Arial"/>
          <w:sz w:val="19"/>
          <w:szCs w:val="19"/>
          <w:color w:val="auto"/>
        </w:rPr>
        <w:t>The changes we’ve experienced in the past year have set in motion powerful trends that are changing our world in profound and lasting ways. By bringing together the best brands, innovations, technology, tools, and people in the industry, we create a stronger organization, with the benefit of both scale and reach and the power to innovate well into the future. We will be well positioned to transform our industry and use our business as a force for good around the world.</w:t>
      </w:r>
    </w:p>
    <w:p>
      <w:pPr>
        <w:spacing w:after="0" w:line="16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Looking Ahead</w:t>
      </w:r>
    </w:p>
    <w:p>
      <w:pPr>
        <w:spacing w:after="0" w:line="239" w:lineRule="exact"/>
        <w:rPr>
          <w:sz w:val="24"/>
          <w:szCs w:val="24"/>
          <w:color w:val="auto"/>
        </w:rPr>
      </w:pPr>
    </w:p>
    <w:p>
      <w:pPr>
        <w:ind w:right="220"/>
        <w:spacing w:after="0" w:line="238" w:lineRule="auto"/>
        <w:rPr>
          <w:sz w:val="20"/>
          <w:szCs w:val="20"/>
          <w:color w:val="auto"/>
        </w:rPr>
      </w:pPr>
      <w:r>
        <w:rPr>
          <w:rFonts w:ascii="Arial" w:cs="Arial" w:eastAsia="Arial" w:hAnsi="Arial"/>
          <w:sz w:val="22"/>
          <w:szCs w:val="22"/>
          <w:color w:val="auto"/>
        </w:rPr>
        <w:t>While there is much to be excited about, the announcement itself is just the first step in what will be a long journey to bring our two companies together. Until the transaction closes, which is expected to be by the end of the third quarter of calendar year 2021, Herman Miller and Knoll will continue to operate as separate and independent companies and it will be business as usual for everyone.</w:t>
      </w:r>
    </w:p>
    <w:p>
      <w:pPr>
        <w:spacing w:after="0" w:line="212" w:lineRule="exact"/>
        <w:rPr>
          <w:sz w:val="24"/>
          <w:szCs w:val="24"/>
          <w:color w:val="auto"/>
        </w:rPr>
      </w:pPr>
    </w:p>
    <w:p>
      <w:pPr>
        <w:ind w:right="100"/>
        <w:spacing w:after="0" w:line="250" w:lineRule="auto"/>
        <w:rPr>
          <w:sz w:val="20"/>
          <w:szCs w:val="20"/>
          <w:color w:val="auto"/>
        </w:rPr>
      </w:pPr>
      <w:r>
        <w:rPr>
          <w:rFonts w:ascii="Arial" w:cs="Arial" w:eastAsia="Arial" w:hAnsi="Arial"/>
          <w:sz w:val="22"/>
          <w:szCs w:val="22"/>
          <w:color w:val="auto"/>
        </w:rPr>
        <w:t>Together, Herman Miller and Knoll form the very foundation of modern design. We are extremely excited about sharing the next chapter in our shared history with the A+D community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_____________________________________________________________________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relates to a proposed business combination transaction between Herman Miller, Inc. (the “Company”) and Knoll, Inc. (“Knoll”). This communication includes forward-looking statements within the meaning of Section 27A of the Securities Act of 1933 and Section 21E of the Securities Exchange Act of 1934. Forward-looking statements relate to future events and anticipated results of operations, business strategies, the anticipated benefits of the proposed transaction, the anticipated impact of the proposed transaction on the combined company’s business and future financial and operating results, the expected amount and timing of synergies from the proposed transaction, the anticipated closing date for the proposed transaction and other aspects of our operations or operating results. These forward-looking statements generally can be identified by phrases such as “will,” “expects,” “anticipates,” “foresees,” “forecasts,” “estimates” or other words or phrases of similar import. It is uncertain whether any of the events anticipated by the forward-looking statements will transpire or occur, or if any of them do, what impact they will have on the results of operations and financial condition of the combined companies or the price of the Company’s or Knoll’s stock. These forward-looking statements involve certain risks and uncertainties, many of which are beyond the parties’ control, that could cause actual results to differ materially from those indicated in such forward-looking statements, including but not limited to: the impact of public health crises, such as pandemics (including coronavirus (COVID-19)) and epidemics, and any related company or government policies and actions to protect the health and safety of individuals or government policies or actions to maintain the functioning of national or global economies and markets; the effect of the announcement of the merger on the ability of the Company or Knoll to retain and hire key personnel and maintain relationships with customers, suppliers and others with whom the Company or Knoll does business, or on the Company’s or Knoll’s operating results and business generally; risks that the merger disrupts current plans and operations and the potential difficulties in employee retention as a result of the merger; the outcome of any legal proceedings related to the merger; the ability of the parties to consummate the proposed transaction on a timely basis or at all; the satisfaction of the conditions precedent to consummation of the proposed transaction, including the ability to secure regulatory approvals on the terms expected, at all or in a timely manner; the ability of the Company to successfully integrate Knoll’s operations; the ability of the Company to implement its plans, forecasts and other expectations with respect to the Company’s business after the completion of the transaction and realize expected synergies; business disruption following the merger; general economic conditions; the availability and pricing of raw materials; the financial strength of our dealers and the financial strength of our customers; the success of newly-introduced products; the pace and level of government procurement; and the outcome of pending litigation or governmental audits or investigations. These risks, as well as other risks related to the proposed transaction, will be included in the registration statement on Form S-4 and joint proxy statement/prospectus that will be filed with the Securities and Exchange Commission (the “SEC”) in connection with the proposed transaction. While the risks presented here, and those to be presented in the registration statement on Form S-4, are considered representative, they should not be considered a complete statement of all potential risks and uncertainties. For additional information about other factors that could cause actual results to differ materially from those described in the forward-looking statements, please refer to the Company’s and Knoll’s respective periodic reports and other filings with the SEC, including the risk factors identified in the Company’s and Knoll’s most recent Quarterly Reports on Form 10-Q and Annual Reports on Form 10-K. The forward-looking statements included in this communication are made only as of the date hereof. Neither the Company nor Knoll undertakes any obligation to update any forward-looking statements to reflect subsequent events or circumstances,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 about the Merger and Where to Find It</w:t>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 xml:space="preserve">In connection with the proposed transaction, the Company intends to file with the SEC a registration statement on Form S-4 that will include a joint proxy statement of the Company and Knoll and that also constitutes a prospectus of the Company. Each of the Company and Knoll may also file other relevant documents with the SEC regarding the proposed transaction. This document is not a substitute for the proxy statement/prospectus or registration statement or any other document that the Company or Knoll may file with the SEC. The definitive joint proxy statement/prospectus (if and when available) will be mailed to stockholders of the Company and Knoll. INVESTORS AND SECURITY HOLDERS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joint proxy statement/prospectus (if and when available) and other documents containing important information about the Company, Knoll and the proposed transaction, once such documents are filed with the SEC through the website maintained by the SEC at </w:t>
      </w:r>
      <w:r>
        <w:rPr>
          <w:rFonts w:ascii="Arial" w:cs="Arial" w:eastAsia="Arial" w:hAnsi="Arial"/>
          <w:sz w:val="19"/>
          <w:szCs w:val="19"/>
          <w:i w:val="1"/>
          <w:iCs w:val="1"/>
          <w:color w:val="auto"/>
        </w:rPr>
        <w:t>http://www.sec.gov</w:t>
      </w:r>
      <w:r>
        <w:rPr>
          <w:rFonts w:ascii="Arial" w:cs="Arial" w:eastAsia="Arial" w:hAnsi="Arial"/>
          <w:sz w:val="19"/>
          <w:szCs w:val="19"/>
          <w:color w:val="auto"/>
        </w:rPr>
        <w:t xml:space="preserve">. Copies of the documents filed with the SEC by the Company will be available free of charge on the Company’s website at </w:t>
      </w:r>
      <w:r>
        <w:rPr>
          <w:rFonts w:ascii="Arial" w:cs="Arial" w:eastAsia="Arial" w:hAnsi="Arial"/>
          <w:sz w:val="19"/>
          <w:szCs w:val="19"/>
          <w:i w:val="1"/>
          <w:iCs w:val="1"/>
          <w:color w:val="auto"/>
        </w:rPr>
        <w:t>https://investors.hermanmiller.com/sec-filings</w:t>
      </w:r>
      <w:r>
        <w:rPr>
          <w:rFonts w:ascii="Arial" w:cs="Arial" w:eastAsia="Arial" w:hAnsi="Arial"/>
          <w:sz w:val="19"/>
          <w:szCs w:val="19"/>
          <w:color w:val="auto"/>
        </w:rPr>
        <w:t xml:space="preserve"> or by contacting the Company’s Investor Relations department at investor@hermanmiller.com. Copies of the documents filed with the SEC by Knoll will be available free of charge on Knoll’s website </w:t>
      </w:r>
      <w:r>
        <w:rPr>
          <w:rFonts w:ascii="Arial" w:cs="Arial" w:eastAsia="Arial" w:hAnsi="Arial"/>
          <w:sz w:val="19"/>
          <w:szCs w:val="19"/>
          <w:i w:val="1"/>
          <w:iCs w:val="1"/>
          <w:color w:val="auto"/>
        </w:rPr>
        <w:t>at https://knoll.gcs-web.com/sec-filings</w:t>
      </w:r>
      <w:r>
        <w:rPr>
          <w:rFonts w:ascii="Arial" w:cs="Arial" w:eastAsia="Arial" w:hAnsi="Arial"/>
          <w:sz w:val="19"/>
          <w:szCs w:val="19"/>
          <w:color w:val="auto"/>
        </w:rPr>
        <w:t xml:space="preserve"> or by contacting Knoll’s Investor Relations department at Investor_Relations@knoll.com.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239"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The Company, Knoll and certain of their respective directors and executive officers may be deemed to be participants in the solicitation of proxies in respect of the proposed transaction. Information about the directors and executive officers of the Company, including a description of their direct or indirect interests, by security holdings or otherwise, is set forth in the Company’s proxy statement for its 2020 Annual Meeting of Stockholders, which was filed with the SEC on September 1, 2020, and the Company’s Annual Report on Form 10-K for the fiscal year ended May 30, 2020, which was filed with the SEC on July 28, 2020, as well as in a Form 8-K filed by the Company with the SEC on July 17, 2020. Information about the directors and executive officers of Knoll, including a description of their direct or indirect interests, by security holdings or otherwise, is set forth in Knoll’s proxy statement for its 2021 Annual Meeting of Stockholders, which was filed with the SEC on April 1, 2021, and Knoll’s Annual Report on Form 10-K for the fiscal year ended December 31, 2020, which was filed with the SEC on March 1, 2021. 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the Company or Knoll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2021-05-04T16:30:53Z</dcterms:created>
  <dcterms:modified xsi:type="dcterms:W3CDTF">2021-05-04T16:30:53Z</dcterms:modified>
</cp:coreProperties>
</file>