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Stutz Jeffrey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 EAST MAIN AVENUE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302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ZEELAND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49464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MILLERKNOLL,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MLKN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Interim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70"/>
        <w:gridCol w:w="898"/>
        <w:gridCol w:w="772"/>
        <w:gridCol w:w="596"/>
        <w:gridCol w:w="330"/>
        <w:gridCol w:w="1126"/>
        <w:gridCol w:w="404"/>
        <w:gridCol w:w="824"/>
        <w:gridCol w:w="1555"/>
        <w:gridCol w:w="934"/>
        <w:gridCol w:w="89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7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2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5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5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8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7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5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7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6,892</w:t>
            </w:r>
          </w:p>
        </w:tc>
        <w:tc>
          <w:tcPr>
            <w:tcW w:w="4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5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88,104.9754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7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12,015</w:t>
            </w:r>
          </w:p>
        </w:tc>
        <w:tc>
          <w:tcPr>
            <w:tcW w:w="4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5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100,119.9754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7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3,249.144</w:t>
            </w:r>
          </w:p>
        </w:tc>
        <w:tc>
          <w:tcPr>
            <w:tcW w:w="4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21.895</w:t>
            </w:r>
          </w:p>
        </w:tc>
        <w:tc>
          <w:tcPr>
            <w:tcW w:w="15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96,870.8314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7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5,457.677</w:t>
            </w:r>
          </w:p>
        </w:tc>
        <w:tc>
          <w:tcPr>
            <w:tcW w:w="4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21.895</w:t>
            </w:r>
          </w:p>
        </w:tc>
        <w:tc>
          <w:tcPr>
            <w:tcW w:w="15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91,413.1544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7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15,206.806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profit share plan</w:t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6,892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6,892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131,247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12,015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12,015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119,232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Number of Derivative Securities Beneficially Owned Following Reported Transaction reflected in Table I of this form includes dividend equivalent units reinvested in the corresponding vesting RSUs, which satisfies the exemption of Rule 16b-2.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Number of Derivative Securities Beneficially Owned Following Reported Transaction reflected in Table I of this form includes dividend equivalent units reinvested in the corresponding vesting RSUs, which satisfies the exemption of Rule 16b-2. The directly owned common stock holdings reflected in Table I of this form include shares purchased through the MillerKnoll, Inc. Employee Stock Purchase Plan, which satisfies the exemption requirements of Rule 16b-3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restricted stock unit represents a contingent right to receive one share of MLKN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restricted stock units vest in three equal annual installments. Vesting for each tranche occurs on July 22nd of each respective year.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Jacqueline H. Rice For: Jeffrey M. Stutz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71446" TargetMode="External"/><Relationship Id="rId5" Type="http://schemas.openxmlformats.org/officeDocument/2006/relationships/hyperlink" Target="http://www.sec.gov/cgi-bin/browse-edgar?action=getcompany&amp;CIK=00000663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775</Words>
  <Characters>4236</Characters>
  <CharactersWithSpaces>4888</CharactersWithSpaces>
  <Paragraphs>151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