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Michael John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EAST MAIN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MILLERKNOLL,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North America Contra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4"/>
        <w:gridCol w:w="898"/>
        <w:gridCol w:w="771"/>
        <w:gridCol w:w="596"/>
        <w:gridCol w:w="333"/>
        <w:gridCol w:w="1129"/>
        <w:gridCol w:w="414"/>
        <w:gridCol w:w="827"/>
        <w:gridCol w:w="1415"/>
        <w:gridCol w:w="946"/>
        <w:gridCol w:w="90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5,994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57,025.2164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10,421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67,446.2164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2,815.428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21.895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64,630.7884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4,716.23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21.895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59,914.5584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5,994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87,808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10,421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77,387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Derivative Securities Beneficially Owned Following Reported Transaction reflected in Table I of this form includes dividend equivalent units reinvested in the corresponding vesting RSUs, which satisfies the exemption of Rule 16b-2.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MLKN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in three equal annual installments. Vesting for each tranche occurs on July 22nd of each respective year.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Jacqueline H. Rice For: John P. Michael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2082" TargetMode="External"/><Relationship Id="rId5" Type="http://schemas.openxmlformats.org/officeDocument/2006/relationships/hyperlink" Target="http://www.sec.gov/cgi-bin/browse-edgar?action=getcompany&amp;CIK=0000066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702</Words>
  <Characters>3803</Characters>
  <CharactersWithSpaces>4387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