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Veltman Kevin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EAST MAIN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MILLERKNOLL,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MLKN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1,172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21,818.1437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568.745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22.52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21,249.3987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582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21,831.3987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253.752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22.52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21,577.6467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21,810.6467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101.588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22.52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21,709.0587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499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22,208.0587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217.564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22.52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21,990.4947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686.136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profit share plan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1,172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49,237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Number of Derivative Securities Beneficially Owned Following Reported Transaction reflected in Table I of this form includes dividend equivalent units reinvested in the corresponding vesting RSUs, which satisfies the exemption of Rule 16b-2.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issued August 1, 2026 pursuant to Performance Share Units granted on October 19, 2023 under the Company's 2020 LTIP.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a contingent right to receive one share of MLKN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are subject to a three-year vest schedule, vesting 25% at year one, 25% at year two, and 50% at year three. Vesting is on August 1 of each respective year.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Jacqueline H. Rice For: Kevin J. Veltman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1228" TargetMode="External"/><Relationship Id="rId5" Type="http://schemas.openxmlformats.org/officeDocument/2006/relationships/hyperlink" Target="http://www.sec.gov/cgi-bin/browse-edgar?action=getcompany&amp;CIK=0000066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763</Words>
  <Characters>4089</Characters>
  <CharactersWithSpaces>4709</CharactersWithSpaces>
  <Paragraphs>171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