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Jacqueline Hourigan Rice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and Corpor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4"/>
        <w:gridCol w:w="901"/>
        <w:gridCol w:w="773"/>
        <w:gridCol w:w="598"/>
        <w:gridCol w:w="335"/>
        <w:gridCol w:w="1132"/>
        <w:gridCol w:w="416"/>
        <w:gridCol w:w="734"/>
        <w:gridCol w:w="1467"/>
        <w:gridCol w:w="951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6,917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68,464.1587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3,356.661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65,107.4977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3,435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68,542.4977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1,497.66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67,044.8377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1,378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68,422.8377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600.808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67,822.0297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2,946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70,768.0297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1,284.456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69,483.5737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6,917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47,609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Derivative Securities Beneficially Owned Following Reported Transaction reflected in Table I of this form includes dividend equivalent units reinvested in the corresponding vesting RSUs, which satisfies the exemption of Rule 16b-2.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Derivative Securities Beneficially Owned Following Reported Transaction reflected in Table I of this form includes dividend equivalent units reinvested in the corresponding vesting RSUs, which satisfies the exemption of Rule 16b-2. The directly owned common stock holdings reflected in Table I of this form include shares purchased through the MillerKnoll, Inc. Employee Stock Purchase Plan, which satisfies the exemption requirements of Rule 16b-3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issued August 1, 2026 pursuant to Performance Share Units granted on October 19, 2023 under the Company's 2020 LTIP.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stock units are subject to a three-year vest schedule, vesting 25% at year one, 25% at year two, and 50% at year three. Vesting is on August 1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Jacqueline H. Rice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7150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819</Words>
  <Characters>4448</Characters>
  <CharactersWithSpaces>5127</CharactersWithSpaces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